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38" w:rsidRPr="00B2397E" w:rsidRDefault="007E1138" w:rsidP="007E113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397E">
        <w:rPr>
          <w:rFonts w:ascii="Calibri" w:eastAsia="Times New Roman" w:hAnsi="Calibri" w:cs="Times New Roman"/>
          <w:color w:val="000000"/>
          <w:sz w:val="24"/>
          <w:szCs w:val="24"/>
        </w:rPr>
        <w:t>Figure 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B2397E">
        <w:rPr>
          <w:rFonts w:ascii="Calibri" w:eastAsia="Times New Roman" w:hAnsi="Calibri" w:cs="Times New Roman"/>
          <w:color w:val="000000"/>
          <w:sz w:val="24"/>
          <w:szCs w:val="24"/>
        </w:rPr>
        <w:t xml:space="preserve">  Guaranteed Admission Offers by Decile and Success Rate</w:t>
      </w:r>
    </w:p>
    <w:p w:rsidR="007E1138" w:rsidRDefault="007E1138" w:rsidP="007E1138"/>
    <w:p w:rsidR="007E1138" w:rsidRDefault="007E1138" w:rsidP="007E1138">
      <w:r>
        <w:rPr>
          <w:noProof/>
        </w:rPr>
        <w:drawing>
          <wp:inline distT="0" distB="0" distL="0" distR="0" wp14:anchorId="3C9C2D4C" wp14:editId="4E82A19D">
            <wp:extent cx="5797550" cy="3724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3AE" w:rsidRDefault="007423AE"/>
    <w:sectPr w:rsidR="0074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38"/>
    <w:rsid w:val="000E7063"/>
    <w:rsid w:val="007423AE"/>
    <w:rsid w:val="007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B20F"/>
  <w15:chartTrackingRefBased/>
  <w15:docId w15:val="{A4C09C79-3081-47C6-822E-69E7E9E6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1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Oermann, Ph.D.</dc:creator>
  <cp:keywords/>
  <dc:description/>
  <cp:lastModifiedBy>Marilyn Oermann, Ph.D.</cp:lastModifiedBy>
  <cp:revision>1</cp:revision>
  <dcterms:created xsi:type="dcterms:W3CDTF">2018-05-21T17:19:00Z</dcterms:created>
  <dcterms:modified xsi:type="dcterms:W3CDTF">2018-05-21T17:19:00Z</dcterms:modified>
</cp:coreProperties>
</file>