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8D68C" w14:textId="77777777" w:rsidR="00110ECE" w:rsidRDefault="00454339" w:rsidP="000A0688">
      <w:pPr>
        <w:jc w:val="center"/>
      </w:pPr>
      <w:r>
        <w:rPr>
          <w:noProof/>
        </w:rPr>
        <w:drawing>
          <wp:inline distT="0" distB="0" distL="0" distR="0" wp14:anchorId="18B5EED9" wp14:editId="1698B8CD">
            <wp:extent cx="4489450" cy="6057900"/>
            <wp:effectExtent l="0" t="0" r="2540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 w:rsidR="002B6131">
        <w:rPr>
          <w:noProof/>
        </w:rPr>
        <w:drawing>
          <wp:inline distT="0" distB="0" distL="0" distR="0" wp14:anchorId="7BF64C43" wp14:editId="32D8A498">
            <wp:extent cx="4524375" cy="6057900"/>
            <wp:effectExtent l="0" t="0" r="9525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04B6D88" w14:textId="612756B9" w:rsidR="00F324CA" w:rsidRPr="00116A3A" w:rsidRDefault="000A0688">
      <w:pPr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16A3A">
        <w:rPr>
          <w:rFonts w:cs="Times New Roman"/>
          <w:sz w:val="24"/>
          <w:szCs w:val="24"/>
        </w:rPr>
        <w:t xml:space="preserve">Figure S1. </w:t>
      </w:r>
      <w:proofErr w:type="gramStart"/>
      <w:r w:rsidRPr="00116A3A">
        <w:rPr>
          <w:rFonts w:cs="Times New Roman"/>
          <w:sz w:val="24"/>
          <w:szCs w:val="24"/>
        </w:rPr>
        <w:t xml:space="preserve">MTHFR 677 </w:t>
      </w:r>
      <w:r w:rsidR="00332312">
        <w:rPr>
          <w:rFonts w:cs="Times New Roman"/>
          <w:color w:val="9900CC"/>
          <w:sz w:val="24"/>
          <w:szCs w:val="24"/>
        </w:rPr>
        <w:t>p</w:t>
      </w:r>
      <w:r w:rsidR="00E00AF8" w:rsidRPr="00F15C70">
        <w:rPr>
          <w:rFonts w:cs="Times New Roman"/>
          <w:color w:val="9900CC"/>
          <w:sz w:val="24"/>
          <w:szCs w:val="24"/>
        </w:rPr>
        <w:t>ercent</w:t>
      </w:r>
      <w:r w:rsidR="009A3553" w:rsidRPr="00F15C70">
        <w:rPr>
          <w:rFonts w:cs="Times New Roman"/>
          <w:color w:val="9900CC"/>
          <w:sz w:val="24"/>
          <w:szCs w:val="24"/>
        </w:rPr>
        <w:t>age of</w:t>
      </w:r>
      <w:r w:rsidR="00E00AF8" w:rsidRPr="00116A3A">
        <w:rPr>
          <w:rFonts w:cs="Times New Roman"/>
          <w:sz w:val="24"/>
          <w:szCs w:val="24"/>
        </w:rPr>
        <w:t xml:space="preserve"> </w:t>
      </w:r>
      <w:r w:rsidR="00332312">
        <w:rPr>
          <w:rFonts w:cs="Times New Roman"/>
          <w:sz w:val="24"/>
          <w:szCs w:val="24"/>
        </w:rPr>
        <w:t>m</w:t>
      </w:r>
      <w:r w:rsidRPr="00116A3A">
        <w:rPr>
          <w:rFonts w:cs="Times New Roman"/>
          <w:sz w:val="24"/>
          <w:szCs w:val="24"/>
        </w:rPr>
        <w:t>utati</w:t>
      </w:r>
      <w:r w:rsidR="009D3034" w:rsidRPr="00116A3A">
        <w:rPr>
          <w:rFonts w:cs="Times New Roman"/>
          <w:sz w:val="24"/>
          <w:szCs w:val="24"/>
        </w:rPr>
        <w:t xml:space="preserve">ons per </w:t>
      </w:r>
      <w:r w:rsidR="00332312">
        <w:rPr>
          <w:rFonts w:cs="Times New Roman"/>
          <w:color w:val="9900CC"/>
          <w:sz w:val="24"/>
          <w:szCs w:val="24"/>
        </w:rPr>
        <w:t>c</w:t>
      </w:r>
      <w:r w:rsidR="009D3034" w:rsidRPr="00116A3A">
        <w:rPr>
          <w:rFonts w:cs="Times New Roman"/>
          <w:sz w:val="24"/>
          <w:szCs w:val="24"/>
        </w:rPr>
        <w:t xml:space="preserve">ontrol and </w:t>
      </w:r>
      <w:r w:rsidR="00332312">
        <w:rPr>
          <w:rFonts w:cs="Times New Roman"/>
          <w:color w:val="9900CC"/>
          <w:sz w:val="24"/>
          <w:szCs w:val="24"/>
        </w:rPr>
        <w:t>c</w:t>
      </w:r>
      <w:r w:rsidR="009D3034" w:rsidRPr="00116A3A">
        <w:rPr>
          <w:rFonts w:cs="Times New Roman"/>
          <w:sz w:val="24"/>
          <w:szCs w:val="24"/>
        </w:rPr>
        <w:t xml:space="preserve">ase </w:t>
      </w:r>
      <w:r w:rsidR="00332312">
        <w:rPr>
          <w:rFonts w:cs="Times New Roman"/>
          <w:color w:val="9900CC"/>
          <w:sz w:val="24"/>
          <w:szCs w:val="24"/>
        </w:rPr>
        <w:t>g</w:t>
      </w:r>
      <w:r w:rsidR="009D3034" w:rsidRPr="00116A3A">
        <w:rPr>
          <w:rFonts w:cs="Times New Roman"/>
          <w:sz w:val="24"/>
          <w:szCs w:val="24"/>
        </w:rPr>
        <w:t>roups</w:t>
      </w:r>
      <w:r w:rsidR="001B37F3">
        <w:rPr>
          <w:rFonts w:cs="Times New Roman"/>
          <w:sz w:val="24"/>
          <w:szCs w:val="24"/>
        </w:rPr>
        <w:t>.</w:t>
      </w:r>
      <w:bookmarkStart w:id="0" w:name="_GoBack"/>
      <w:bookmarkEnd w:id="0"/>
      <w:proofErr w:type="gramEnd"/>
    </w:p>
    <w:sectPr w:rsidR="00F324CA" w:rsidRPr="00116A3A" w:rsidSect="007B0C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1EE"/>
    <w:rsid w:val="00064770"/>
    <w:rsid w:val="000A0688"/>
    <w:rsid w:val="00110ECE"/>
    <w:rsid w:val="001168BA"/>
    <w:rsid w:val="00116A3A"/>
    <w:rsid w:val="001B37F3"/>
    <w:rsid w:val="002B6131"/>
    <w:rsid w:val="00301F13"/>
    <w:rsid w:val="00332312"/>
    <w:rsid w:val="00454339"/>
    <w:rsid w:val="005471EE"/>
    <w:rsid w:val="00577DB5"/>
    <w:rsid w:val="005D69D4"/>
    <w:rsid w:val="007B0C63"/>
    <w:rsid w:val="007D377F"/>
    <w:rsid w:val="00836533"/>
    <w:rsid w:val="009A3553"/>
    <w:rsid w:val="009D3034"/>
    <w:rsid w:val="00E00AF8"/>
    <w:rsid w:val="00E925A8"/>
    <w:rsid w:val="00F07FC4"/>
    <w:rsid w:val="00F15C70"/>
    <w:rsid w:val="00F3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1744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r>
              <a:rPr lang="en-US" baseline="0">
                <a:latin typeface="Arial" panose="020B0604020202020204" pitchFamily="34" charset="0"/>
              </a:rPr>
              <a:t>MTHFR 677 Controls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'Graphs 677'!$F$37</c:f>
              <c:strCache>
                <c:ptCount val="1"/>
                <c:pt idx="0">
                  <c:v>677 TT% Controls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 cap="sq" cmpd="sng">
              <a:solidFill>
                <a:sysClr val="windowText" lastClr="000000"/>
              </a:solidFill>
              <a:prstDash val="solid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677'!$E$38:$E$71</c:f>
              <c:strCache>
                <c:ptCount val="34"/>
                <c:pt idx="0">
                  <c:v>India (6) 1240</c:v>
                </c:pt>
                <c:pt idx="1">
                  <c:v>Thailand (1) 487</c:v>
                </c:pt>
                <c:pt idx="2">
                  <c:v>Australia (1) 40</c:v>
                </c:pt>
                <c:pt idx="3">
                  <c:v>Finland (1) 298</c:v>
                </c:pt>
                <c:pt idx="4">
                  <c:v>Singapore (1) 662</c:v>
                </c:pt>
                <c:pt idx="5">
                  <c:v>Morocco (1) 117</c:v>
                </c:pt>
                <c:pt idx="6">
                  <c:v>Turkey (5) 685</c:v>
                </c:pt>
                <c:pt idx="7">
                  <c:v>Jordan (1) 146</c:v>
                </c:pt>
                <c:pt idx="8">
                  <c:v>Iran (1) 300</c:v>
                </c:pt>
                <c:pt idx="9">
                  <c:v>Pakistan (1) 110</c:v>
                </c:pt>
                <c:pt idx="10">
                  <c:v>Brazil (4) 861</c:v>
                </c:pt>
                <c:pt idx="11">
                  <c:v>Russia (1) 778</c:v>
                </c:pt>
                <c:pt idx="12">
                  <c:v>Poland (2) 2572</c:v>
                </c:pt>
                <c:pt idx="13">
                  <c:v>Sweden (1) 1074</c:v>
                </c:pt>
                <c:pt idx="14">
                  <c:v>Mexico (1) 339</c:v>
                </c:pt>
                <c:pt idx="15">
                  <c:v>China (17) 6468</c:v>
                </c:pt>
                <c:pt idx="16">
                  <c:v>Taiwan (5) 2809</c:v>
                </c:pt>
                <c:pt idx="17">
                  <c:v>Kazakhstan (1) 604</c:v>
                </c:pt>
                <c:pt idx="18">
                  <c:v>Syria (1) 146</c:v>
                </c:pt>
                <c:pt idx="19">
                  <c:v>Austria (3) 1151</c:v>
                </c:pt>
                <c:pt idx="20">
                  <c:v>US (8) 9786</c:v>
                </c:pt>
                <c:pt idx="21">
                  <c:v>UK (3) 3640</c:v>
                </c:pt>
                <c:pt idx="22">
                  <c:v>Croatia (1) 65</c:v>
                </c:pt>
                <c:pt idx="23">
                  <c:v>Germany (1) 633</c:v>
                </c:pt>
                <c:pt idx="24">
                  <c:v>Slovenia (1) 269</c:v>
                </c:pt>
                <c:pt idx="25">
                  <c:v>Cyprus (1) 1157</c:v>
                </c:pt>
                <c:pt idx="26">
                  <c:v>Spain (2) 436</c:v>
                </c:pt>
                <c:pt idx="27">
                  <c:v>Canada (1) 680</c:v>
                </c:pt>
                <c:pt idx="28">
                  <c:v>Greece (2) 334</c:v>
                </c:pt>
                <c:pt idx="29">
                  <c:v>Italy (2) 127</c:v>
                </c:pt>
                <c:pt idx="30">
                  <c:v>Ecuador (1) 195</c:v>
                </c:pt>
                <c:pt idx="31">
                  <c:v>Japan (2) 1296</c:v>
                </c:pt>
                <c:pt idx="32">
                  <c:v>Korea (1) 147</c:v>
                </c:pt>
                <c:pt idx="33">
                  <c:v>Saudi Arabia (1) 1057</c:v>
                </c:pt>
              </c:strCache>
            </c:strRef>
          </c:cat>
          <c:val>
            <c:numRef>
              <c:f>'Graphs 677'!$F$38:$F$71</c:f>
              <c:numCache>
                <c:formatCode>0</c:formatCode>
                <c:ptCount val="34"/>
                <c:pt idx="0">
                  <c:v>1.4</c:v>
                </c:pt>
                <c:pt idx="1">
                  <c:v>2.2000000000000002</c:v>
                </c:pt>
                <c:pt idx="2">
                  <c:v>12.5</c:v>
                </c:pt>
                <c:pt idx="3">
                  <c:v>4.4000000000000004</c:v>
                </c:pt>
                <c:pt idx="4">
                  <c:v>6.5</c:v>
                </c:pt>
                <c:pt idx="5">
                  <c:v>6</c:v>
                </c:pt>
                <c:pt idx="6">
                  <c:v>5</c:v>
                </c:pt>
                <c:pt idx="7">
                  <c:v>11</c:v>
                </c:pt>
                <c:pt idx="8">
                  <c:v>20</c:v>
                </c:pt>
                <c:pt idx="9">
                  <c:v>9.1</c:v>
                </c:pt>
                <c:pt idx="10">
                  <c:v>10.7</c:v>
                </c:pt>
                <c:pt idx="11">
                  <c:v>8.5</c:v>
                </c:pt>
                <c:pt idx="12">
                  <c:v>9.9</c:v>
                </c:pt>
                <c:pt idx="13">
                  <c:v>8.5</c:v>
                </c:pt>
                <c:pt idx="14">
                  <c:v>10</c:v>
                </c:pt>
                <c:pt idx="15">
                  <c:v>11.9</c:v>
                </c:pt>
                <c:pt idx="16">
                  <c:v>10.6</c:v>
                </c:pt>
                <c:pt idx="17">
                  <c:v>8</c:v>
                </c:pt>
                <c:pt idx="18">
                  <c:v>8</c:v>
                </c:pt>
                <c:pt idx="19">
                  <c:v>11</c:v>
                </c:pt>
                <c:pt idx="20">
                  <c:v>12.7</c:v>
                </c:pt>
                <c:pt idx="21">
                  <c:v>12.5</c:v>
                </c:pt>
                <c:pt idx="22">
                  <c:v>6.2</c:v>
                </c:pt>
                <c:pt idx="23">
                  <c:v>14.7</c:v>
                </c:pt>
                <c:pt idx="24">
                  <c:v>13.8</c:v>
                </c:pt>
                <c:pt idx="25">
                  <c:v>16.7</c:v>
                </c:pt>
                <c:pt idx="26">
                  <c:v>15.6</c:v>
                </c:pt>
                <c:pt idx="27">
                  <c:v>12.8</c:v>
                </c:pt>
                <c:pt idx="28">
                  <c:v>9.3000000000000007</c:v>
                </c:pt>
                <c:pt idx="29">
                  <c:v>11.8</c:v>
                </c:pt>
                <c:pt idx="30">
                  <c:v>6.7</c:v>
                </c:pt>
                <c:pt idx="31">
                  <c:v>17.7</c:v>
                </c:pt>
                <c:pt idx="32">
                  <c:v>11.6</c:v>
                </c:pt>
                <c:pt idx="33">
                  <c:v>16.5</c:v>
                </c:pt>
              </c:numCache>
            </c:numRef>
          </c:val>
        </c:ser>
        <c:ser>
          <c:idx val="1"/>
          <c:order val="1"/>
          <c:tx>
            <c:strRef>
              <c:f>'Graphs 677'!$G$37</c:f>
              <c:strCache>
                <c:ptCount val="1"/>
                <c:pt idx="0">
                  <c:v>677 CT% Controls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 cmpd="sng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677'!$E$38:$E$71</c:f>
              <c:strCache>
                <c:ptCount val="34"/>
                <c:pt idx="0">
                  <c:v>India (6) 1240</c:v>
                </c:pt>
                <c:pt idx="1">
                  <c:v>Thailand (1) 487</c:v>
                </c:pt>
                <c:pt idx="2">
                  <c:v>Australia (1) 40</c:v>
                </c:pt>
                <c:pt idx="3">
                  <c:v>Finland (1) 298</c:v>
                </c:pt>
                <c:pt idx="4">
                  <c:v>Singapore (1) 662</c:v>
                </c:pt>
                <c:pt idx="5">
                  <c:v>Morocco (1) 117</c:v>
                </c:pt>
                <c:pt idx="6">
                  <c:v>Turkey (5) 685</c:v>
                </c:pt>
                <c:pt idx="7">
                  <c:v>Jordan (1) 146</c:v>
                </c:pt>
                <c:pt idx="8">
                  <c:v>Iran (1) 300</c:v>
                </c:pt>
                <c:pt idx="9">
                  <c:v>Pakistan (1) 110</c:v>
                </c:pt>
                <c:pt idx="10">
                  <c:v>Brazil (4) 861</c:v>
                </c:pt>
                <c:pt idx="11">
                  <c:v>Russia (1) 778</c:v>
                </c:pt>
                <c:pt idx="12">
                  <c:v>Poland (2) 2572</c:v>
                </c:pt>
                <c:pt idx="13">
                  <c:v>Sweden (1) 1074</c:v>
                </c:pt>
                <c:pt idx="14">
                  <c:v>Mexico (1) 339</c:v>
                </c:pt>
                <c:pt idx="15">
                  <c:v>China (17) 6468</c:v>
                </c:pt>
                <c:pt idx="16">
                  <c:v>Taiwan (5) 2809</c:v>
                </c:pt>
                <c:pt idx="17">
                  <c:v>Kazakhstan (1) 604</c:v>
                </c:pt>
                <c:pt idx="18">
                  <c:v>Syria (1) 146</c:v>
                </c:pt>
                <c:pt idx="19">
                  <c:v>Austria (3) 1151</c:v>
                </c:pt>
                <c:pt idx="20">
                  <c:v>US (8) 9786</c:v>
                </c:pt>
                <c:pt idx="21">
                  <c:v>UK (3) 3640</c:v>
                </c:pt>
                <c:pt idx="22">
                  <c:v>Croatia (1) 65</c:v>
                </c:pt>
                <c:pt idx="23">
                  <c:v>Germany (1) 633</c:v>
                </c:pt>
                <c:pt idx="24">
                  <c:v>Slovenia (1) 269</c:v>
                </c:pt>
                <c:pt idx="25">
                  <c:v>Cyprus (1) 1157</c:v>
                </c:pt>
                <c:pt idx="26">
                  <c:v>Spain (2) 436</c:v>
                </c:pt>
                <c:pt idx="27">
                  <c:v>Canada (1) 680</c:v>
                </c:pt>
                <c:pt idx="28">
                  <c:v>Greece (2) 334</c:v>
                </c:pt>
                <c:pt idx="29">
                  <c:v>Italy (2) 127</c:v>
                </c:pt>
                <c:pt idx="30">
                  <c:v>Ecuador (1) 195</c:v>
                </c:pt>
                <c:pt idx="31">
                  <c:v>Japan (2) 1296</c:v>
                </c:pt>
                <c:pt idx="32">
                  <c:v>Korea (1) 147</c:v>
                </c:pt>
                <c:pt idx="33">
                  <c:v>Saudi Arabia (1) 1057</c:v>
                </c:pt>
              </c:strCache>
            </c:strRef>
          </c:cat>
          <c:val>
            <c:numRef>
              <c:f>'Graphs 677'!$G$38:$G$71</c:f>
              <c:numCache>
                <c:formatCode>0</c:formatCode>
                <c:ptCount val="34"/>
                <c:pt idx="0">
                  <c:v>19.2</c:v>
                </c:pt>
                <c:pt idx="1">
                  <c:v>22.6</c:v>
                </c:pt>
                <c:pt idx="2">
                  <c:v>15</c:v>
                </c:pt>
                <c:pt idx="3">
                  <c:v>34.9</c:v>
                </c:pt>
                <c:pt idx="4">
                  <c:v>34.1</c:v>
                </c:pt>
                <c:pt idx="5">
                  <c:v>35</c:v>
                </c:pt>
                <c:pt idx="6">
                  <c:v>39.1</c:v>
                </c:pt>
                <c:pt idx="7">
                  <c:v>34.9</c:v>
                </c:pt>
                <c:pt idx="8">
                  <c:v>30</c:v>
                </c:pt>
                <c:pt idx="9">
                  <c:v>40.9</c:v>
                </c:pt>
                <c:pt idx="10">
                  <c:v>39.9</c:v>
                </c:pt>
                <c:pt idx="11">
                  <c:v>41.9</c:v>
                </c:pt>
                <c:pt idx="12">
                  <c:v>40.9</c:v>
                </c:pt>
                <c:pt idx="13">
                  <c:v>42.1</c:v>
                </c:pt>
                <c:pt idx="14">
                  <c:v>41</c:v>
                </c:pt>
                <c:pt idx="15">
                  <c:v>39.6</c:v>
                </c:pt>
                <c:pt idx="16">
                  <c:v>41.8</c:v>
                </c:pt>
                <c:pt idx="17">
                  <c:v>44.5</c:v>
                </c:pt>
                <c:pt idx="18">
                  <c:v>46</c:v>
                </c:pt>
                <c:pt idx="19">
                  <c:v>44.9</c:v>
                </c:pt>
                <c:pt idx="20">
                  <c:v>43.1</c:v>
                </c:pt>
                <c:pt idx="21">
                  <c:v>43.8</c:v>
                </c:pt>
                <c:pt idx="22">
                  <c:v>52.3</c:v>
                </c:pt>
                <c:pt idx="23">
                  <c:v>44.1</c:v>
                </c:pt>
                <c:pt idx="24">
                  <c:v>46.1</c:v>
                </c:pt>
                <c:pt idx="25">
                  <c:v>45.5</c:v>
                </c:pt>
                <c:pt idx="26">
                  <c:v>47</c:v>
                </c:pt>
                <c:pt idx="27">
                  <c:v>50.1</c:v>
                </c:pt>
                <c:pt idx="28">
                  <c:v>54.2</c:v>
                </c:pt>
                <c:pt idx="29">
                  <c:v>52</c:v>
                </c:pt>
                <c:pt idx="30">
                  <c:v>57.9</c:v>
                </c:pt>
                <c:pt idx="31">
                  <c:v>47.3</c:v>
                </c:pt>
                <c:pt idx="32">
                  <c:v>54.4</c:v>
                </c:pt>
                <c:pt idx="33">
                  <c:v>50.3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9744640"/>
        <c:axId val="147864896"/>
      </c:barChart>
      <c:catAx>
        <c:axId val="149744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>
                <a:lumMod val="15000"/>
                <a:lumOff val="8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47864896"/>
        <c:crosses val="autoZero"/>
        <c:auto val="1"/>
        <c:lblAlgn val="ctr"/>
        <c:lblOffset val="100"/>
        <c:noMultiLvlLbl val="0"/>
      </c:catAx>
      <c:valAx>
        <c:axId val="147864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49744640"/>
        <c:crosses val="autoZero"/>
        <c:crossBetween val="between"/>
      </c:valAx>
      <c:spPr>
        <a:solidFill>
          <a:sysClr val="window" lastClr="FFFFFF"/>
        </a:solidFill>
        <a:ln cmpd="sng">
          <a:solidFill>
            <a:sysClr val="windowText" lastClr="000000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>
          <a:lumMod val="15000"/>
          <a:lumOff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r>
              <a:rPr lang="en-US" baseline="0">
                <a:latin typeface="Arial" panose="020B0604020202020204" pitchFamily="34" charset="0"/>
              </a:rPr>
              <a:t>MTHFR 677 BC Cases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'Graphs 677'!$F$1</c:f>
              <c:strCache>
                <c:ptCount val="1"/>
                <c:pt idx="0">
                  <c:v>677 TT% BC Cases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 cmpd="sng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677'!$E$2:$E$35</c:f>
              <c:strCache>
                <c:ptCount val="34"/>
                <c:pt idx="0">
                  <c:v>India (6) 1307</c:v>
                </c:pt>
                <c:pt idx="1">
                  <c:v>Thailand (1) 563</c:v>
                </c:pt>
                <c:pt idx="2">
                  <c:v>Australia (1) 19</c:v>
                </c:pt>
                <c:pt idx="3">
                  <c:v>Finland (1) 223</c:v>
                </c:pt>
                <c:pt idx="4">
                  <c:v>Singapore (1) 360</c:v>
                </c:pt>
                <c:pt idx="5">
                  <c:v>Morocco (1) 96</c:v>
                </c:pt>
                <c:pt idx="6">
                  <c:v>Turkey (5) 508</c:v>
                </c:pt>
                <c:pt idx="7">
                  <c:v>Jordan (1) 150</c:v>
                </c:pt>
                <c:pt idx="8">
                  <c:v>Iran (1) 294</c:v>
                </c:pt>
                <c:pt idx="9">
                  <c:v>Pakistan (1) 110</c:v>
                </c:pt>
                <c:pt idx="10">
                  <c:v>Brazil (4) 844</c:v>
                </c:pt>
                <c:pt idx="11">
                  <c:v>Russia (1) 837</c:v>
                </c:pt>
                <c:pt idx="12">
                  <c:v>Poland (2) 2288</c:v>
                </c:pt>
                <c:pt idx="13">
                  <c:v>Sweden (1) 540</c:v>
                </c:pt>
                <c:pt idx="14">
                  <c:v>Mexico (1) 497</c:v>
                </c:pt>
                <c:pt idx="15">
                  <c:v>China (17) 6262</c:v>
                </c:pt>
                <c:pt idx="16">
                  <c:v>Taiwan (5) 1920</c:v>
                </c:pt>
                <c:pt idx="17">
                  <c:v>Kazakhstan (1) 315</c:v>
                </c:pt>
                <c:pt idx="18">
                  <c:v>Syria (1) 119</c:v>
                </c:pt>
                <c:pt idx="19">
                  <c:v>Austria (3) 933</c:v>
                </c:pt>
                <c:pt idx="20">
                  <c:v>US (8) 7253</c:v>
                </c:pt>
                <c:pt idx="21">
                  <c:v>UK (3) 5167</c:v>
                </c:pt>
                <c:pt idx="22">
                  <c:v>Croatia (1) 93</c:v>
                </c:pt>
                <c:pt idx="23">
                  <c:v>Germany (1) 584</c:v>
                </c:pt>
                <c:pt idx="24">
                  <c:v>Slovenia (1) 522</c:v>
                </c:pt>
                <c:pt idx="25">
                  <c:v>Cyprus (1) 1065</c:v>
                </c:pt>
                <c:pt idx="26">
                  <c:v>Spain (2) 277</c:v>
                </c:pt>
                <c:pt idx="27">
                  <c:v>Canada (1) 944</c:v>
                </c:pt>
                <c:pt idx="28">
                  <c:v>Greece (2) 342</c:v>
                </c:pt>
                <c:pt idx="29">
                  <c:v>Italy (2) 64</c:v>
                </c:pt>
                <c:pt idx="30">
                  <c:v>Ecuador (1) 114</c:v>
                </c:pt>
                <c:pt idx="31">
                  <c:v>Japan (2) 842</c:v>
                </c:pt>
                <c:pt idx="32">
                  <c:v>Korea (1) 186</c:v>
                </c:pt>
                <c:pt idx="33">
                  <c:v>Saudi Arabia (1) 1024</c:v>
                </c:pt>
              </c:strCache>
            </c:strRef>
          </c:cat>
          <c:val>
            <c:numRef>
              <c:f>'Graphs 677'!$F$2:$F$35</c:f>
              <c:numCache>
                <c:formatCode>0</c:formatCode>
                <c:ptCount val="34"/>
                <c:pt idx="0">
                  <c:v>2.1</c:v>
                </c:pt>
                <c:pt idx="1">
                  <c:v>1.6</c:v>
                </c:pt>
                <c:pt idx="2">
                  <c:v>21</c:v>
                </c:pt>
                <c:pt idx="3">
                  <c:v>3.6</c:v>
                </c:pt>
                <c:pt idx="4">
                  <c:v>5.5</c:v>
                </c:pt>
                <c:pt idx="5">
                  <c:v>6.3</c:v>
                </c:pt>
                <c:pt idx="6">
                  <c:v>11.8</c:v>
                </c:pt>
                <c:pt idx="7">
                  <c:v>10</c:v>
                </c:pt>
                <c:pt idx="8">
                  <c:v>14.3</c:v>
                </c:pt>
                <c:pt idx="9">
                  <c:v>18.2</c:v>
                </c:pt>
                <c:pt idx="10">
                  <c:v>9.4</c:v>
                </c:pt>
                <c:pt idx="11">
                  <c:v>8.8000000000000007</c:v>
                </c:pt>
                <c:pt idx="12">
                  <c:v>9.2000000000000011</c:v>
                </c:pt>
                <c:pt idx="13">
                  <c:v>9.3000000000000007</c:v>
                </c:pt>
                <c:pt idx="14">
                  <c:v>21</c:v>
                </c:pt>
                <c:pt idx="15">
                  <c:v>14.9</c:v>
                </c:pt>
                <c:pt idx="16">
                  <c:v>8.8000000000000007</c:v>
                </c:pt>
                <c:pt idx="17">
                  <c:v>7.9</c:v>
                </c:pt>
                <c:pt idx="18">
                  <c:v>10.1</c:v>
                </c:pt>
                <c:pt idx="19">
                  <c:v>11.6</c:v>
                </c:pt>
                <c:pt idx="20">
                  <c:v>14</c:v>
                </c:pt>
                <c:pt idx="21">
                  <c:v>12</c:v>
                </c:pt>
                <c:pt idx="22">
                  <c:v>9.7000000000000011</c:v>
                </c:pt>
                <c:pt idx="23">
                  <c:v>10.4</c:v>
                </c:pt>
                <c:pt idx="24">
                  <c:v>11.9</c:v>
                </c:pt>
                <c:pt idx="25">
                  <c:v>17.7</c:v>
                </c:pt>
                <c:pt idx="26">
                  <c:v>16.600000000000001</c:v>
                </c:pt>
                <c:pt idx="27">
                  <c:v>14.8</c:v>
                </c:pt>
                <c:pt idx="28">
                  <c:v>15.2</c:v>
                </c:pt>
                <c:pt idx="29">
                  <c:v>25</c:v>
                </c:pt>
                <c:pt idx="30">
                  <c:v>12.3</c:v>
                </c:pt>
                <c:pt idx="31">
                  <c:v>19.600000000000001</c:v>
                </c:pt>
                <c:pt idx="32">
                  <c:v>17.2</c:v>
                </c:pt>
                <c:pt idx="33">
                  <c:v>16.8</c:v>
                </c:pt>
              </c:numCache>
            </c:numRef>
          </c:val>
        </c:ser>
        <c:ser>
          <c:idx val="1"/>
          <c:order val="1"/>
          <c:tx>
            <c:strRef>
              <c:f>'Graphs 677'!$G$1</c:f>
              <c:strCache>
                <c:ptCount val="1"/>
                <c:pt idx="0">
                  <c:v>677 CT% BC Cases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 cmpd="sng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'Graphs 677'!$E$2:$E$35</c:f>
              <c:strCache>
                <c:ptCount val="34"/>
                <c:pt idx="0">
                  <c:v>India (6) 1307</c:v>
                </c:pt>
                <c:pt idx="1">
                  <c:v>Thailand (1) 563</c:v>
                </c:pt>
                <c:pt idx="2">
                  <c:v>Australia (1) 19</c:v>
                </c:pt>
                <c:pt idx="3">
                  <c:v>Finland (1) 223</c:v>
                </c:pt>
                <c:pt idx="4">
                  <c:v>Singapore (1) 360</c:v>
                </c:pt>
                <c:pt idx="5">
                  <c:v>Morocco (1) 96</c:v>
                </c:pt>
                <c:pt idx="6">
                  <c:v>Turkey (5) 508</c:v>
                </c:pt>
                <c:pt idx="7">
                  <c:v>Jordan (1) 150</c:v>
                </c:pt>
                <c:pt idx="8">
                  <c:v>Iran (1) 294</c:v>
                </c:pt>
                <c:pt idx="9">
                  <c:v>Pakistan (1) 110</c:v>
                </c:pt>
                <c:pt idx="10">
                  <c:v>Brazil (4) 844</c:v>
                </c:pt>
                <c:pt idx="11">
                  <c:v>Russia (1) 837</c:v>
                </c:pt>
                <c:pt idx="12">
                  <c:v>Poland (2) 2288</c:v>
                </c:pt>
                <c:pt idx="13">
                  <c:v>Sweden (1) 540</c:v>
                </c:pt>
                <c:pt idx="14">
                  <c:v>Mexico (1) 497</c:v>
                </c:pt>
                <c:pt idx="15">
                  <c:v>China (17) 6262</c:v>
                </c:pt>
                <c:pt idx="16">
                  <c:v>Taiwan (5) 1920</c:v>
                </c:pt>
                <c:pt idx="17">
                  <c:v>Kazakhstan (1) 315</c:v>
                </c:pt>
                <c:pt idx="18">
                  <c:v>Syria (1) 119</c:v>
                </c:pt>
                <c:pt idx="19">
                  <c:v>Austria (3) 933</c:v>
                </c:pt>
                <c:pt idx="20">
                  <c:v>US (8) 7253</c:v>
                </c:pt>
                <c:pt idx="21">
                  <c:v>UK (3) 5167</c:v>
                </c:pt>
                <c:pt idx="22">
                  <c:v>Croatia (1) 93</c:v>
                </c:pt>
                <c:pt idx="23">
                  <c:v>Germany (1) 584</c:v>
                </c:pt>
                <c:pt idx="24">
                  <c:v>Slovenia (1) 522</c:v>
                </c:pt>
                <c:pt idx="25">
                  <c:v>Cyprus (1) 1065</c:v>
                </c:pt>
                <c:pt idx="26">
                  <c:v>Spain (2) 277</c:v>
                </c:pt>
                <c:pt idx="27">
                  <c:v>Canada (1) 944</c:v>
                </c:pt>
                <c:pt idx="28">
                  <c:v>Greece (2) 342</c:v>
                </c:pt>
                <c:pt idx="29">
                  <c:v>Italy (2) 64</c:v>
                </c:pt>
                <c:pt idx="30">
                  <c:v>Ecuador (1) 114</c:v>
                </c:pt>
                <c:pt idx="31">
                  <c:v>Japan (2) 842</c:v>
                </c:pt>
                <c:pt idx="32">
                  <c:v>Korea (1) 186</c:v>
                </c:pt>
                <c:pt idx="33">
                  <c:v>Saudi Arabia (1) 1024</c:v>
                </c:pt>
              </c:strCache>
            </c:strRef>
          </c:cat>
          <c:val>
            <c:numRef>
              <c:f>'Graphs 677'!$G$2:$G$35</c:f>
              <c:numCache>
                <c:formatCode>0</c:formatCode>
                <c:ptCount val="34"/>
                <c:pt idx="0">
                  <c:v>22.3</c:v>
                </c:pt>
                <c:pt idx="1">
                  <c:v>25.6</c:v>
                </c:pt>
                <c:pt idx="2">
                  <c:v>31.6</c:v>
                </c:pt>
                <c:pt idx="3">
                  <c:v>36.299999999999997</c:v>
                </c:pt>
                <c:pt idx="4">
                  <c:v>31.6</c:v>
                </c:pt>
                <c:pt idx="5">
                  <c:v>53.1</c:v>
                </c:pt>
                <c:pt idx="6">
                  <c:v>37.799999999999997</c:v>
                </c:pt>
                <c:pt idx="7">
                  <c:v>46</c:v>
                </c:pt>
                <c:pt idx="8">
                  <c:v>28.6</c:v>
                </c:pt>
                <c:pt idx="9">
                  <c:v>22.7</c:v>
                </c:pt>
                <c:pt idx="10">
                  <c:v>44</c:v>
                </c:pt>
                <c:pt idx="11">
                  <c:v>43.5</c:v>
                </c:pt>
                <c:pt idx="12">
                  <c:v>41.1</c:v>
                </c:pt>
                <c:pt idx="13">
                  <c:v>43.5</c:v>
                </c:pt>
                <c:pt idx="14">
                  <c:v>36</c:v>
                </c:pt>
                <c:pt idx="15">
                  <c:v>40.5</c:v>
                </c:pt>
                <c:pt idx="16">
                  <c:v>41.6</c:v>
                </c:pt>
                <c:pt idx="17">
                  <c:v>34.6</c:v>
                </c:pt>
                <c:pt idx="18">
                  <c:v>39.5</c:v>
                </c:pt>
                <c:pt idx="19">
                  <c:v>44</c:v>
                </c:pt>
                <c:pt idx="20">
                  <c:v>43.3</c:v>
                </c:pt>
                <c:pt idx="21">
                  <c:v>45.4</c:v>
                </c:pt>
                <c:pt idx="22">
                  <c:v>47.3</c:v>
                </c:pt>
                <c:pt idx="23">
                  <c:v>47</c:v>
                </c:pt>
                <c:pt idx="24">
                  <c:v>45.6</c:v>
                </c:pt>
                <c:pt idx="25">
                  <c:v>48.4</c:v>
                </c:pt>
                <c:pt idx="26">
                  <c:v>45.5</c:v>
                </c:pt>
                <c:pt idx="27">
                  <c:v>44.6</c:v>
                </c:pt>
                <c:pt idx="28">
                  <c:v>48.5</c:v>
                </c:pt>
                <c:pt idx="29">
                  <c:v>42.2</c:v>
                </c:pt>
                <c:pt idx="30">
                  <c:v>65.8</c:v>
                </c:pt>
                <c:pt idx="31">
                  <c:v>47.9</c:v>
                </c:pt>
                <c:pt idx="32">
                  <c:v>51.6</c:v>
                </c:pt>
                <c:pt idx="33">
                  <c:v>50.4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8671488"/>
        <c:axId val="147863168"/>
      </c:barChart>
      <c:catAx>
        <c:axId val="148671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47863168"/>
        <c:crosses val="autoZero"/>
        <c:auto val="1"/>
        <c:lblAlgn val="ctr"/>
        <c:lblOffset val="100"/>
        <c:noMultiLvlLbl val="0"/>
      </c:catAx>
      <c:valAx>
        <c:axId val="147863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148671488"/>
        <c:crosses val="autoZero"/>
        <c:crossBetween val="between"/>
      </c:valAx>
      <c:spPr>
        <a:noFill/>
        <a:ln cmpd="sng">
          <a:solidFill>
            <a:sysClr val="windowText" lastClr="000000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Mildred Gonzales</dc:creator>
  <cp:lastModifiedBy>User</cp:lastModifiedBy>
  <cp:revision>2</cp:revision>
  <dcterms:created xsi:type="dcterms:W3CDTF">2016-10-27T00:58:00Z</dcterms:created>
  <dcterms:modified xsi:type="dcterms:W3CDTF">2016-10-27T00:58:00Z</dcterms:modified>
</cp:coreProperties>
</file>