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3B81F" w14:textId="77777777" w:rsidR="00F324CA" w:rsidRDefault="00F324CA"/>
    <w:p w14:paraId="57CB79CB" w14:textId="7D05A729" w:rsidR="00F324CA" w:rsidRPr="004F6838" w:rsidRDefault="007D377F">
      <w:pPr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0C363E" wp14:editId="5389A5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71975" cy="5953125"/>
            <wp:effectExtent l="0" t="0" r="9525" b="9525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8BA">
        <w:rPr>
          <w:noProof/>
        </w:rPr>
        <w:drawing>
          <wp:inline distT="0" distB="0" distL="0" distR="0" wp14:anchorId="62A54CFD" wp14:editId="7A8764C4">
            <wp:extent cx="4572000" cy="5953125"/>
            <wp:effectExtent l="0" t="0" r="1905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577DB5">
        <w:br w:type="textWrapping" w:clear="all"/>
      </w:r>
      <w:r w:rsidR="00442156">
        <w:tab/>
      </w:r>
      <w:r w:rsidR="00442156" w:rsidRPr="004F6838">
        <w:rPr>
          <w:rFonts w:cs="Times New Roman"/>
          <w:sz w:val="24"/>
          <w:szCs w:val="24"/>
        </w:rPr>
        <w:t xml:space="preserve">Figure S2. </w:t>
      </w:r>
      <w:proofErr w:type="gramStart"/>
      <w:r w:rsidR="00442156" w:rsidRPr="004F6838">
        <w:rPr>
          <w:rFonts w:cs="Times New Roman"/>
          <w:sz w:val="24"/>
          <w:szCs w:val="24"/>
        </w:rPr>
        <w:t xml:space="preserve">MTHFR 1298 </w:t>
      </w:r>
      <w:r w:rsidR="001F4732">
        <w:rPr>
          <w:rFonts w:cs="Times New Roman"/>
          <w:color w:val="9900CC"/>
          <w:sz w:val="24"/>
          <w:szCs w:val="24"/>
        </w:rPr>
        <w:t>p</w:t>
      </w:r>
      <w:r w:rsidR="00DE1332" w:rsidRPr="007C5716">
        <w:rPr>
          <w:rFonts w:cs="Times New Roman"/>
          <w:color w:val="9900CC"/>
          <w:sz w:val="24"/>
          <w:szCs w:val="24"/>
        </w:rPr>
        <w:t>ercent</w:t>
      </w:r>
      <w:r w:rsidR="007415EC" w:rsidRPr="007C5716">
        <w:rPr>
          <w:rFonts w:cs="Times New Roman"/>
          <w:color w:val="9900CC"/>
          <w:sz w:val="24"/>
          <w:szCs w:val="24"/>
        </w:rPr>
        <w:t>age</w:t>
      </w:r>
      <w:r w:rsidR="007415EC">
        <w:rPr>
          <w:rFonts w:cs="Times New Roman"/>
          <w:sz w:val="24"/>
          <w:szCs w:val="24"/>
        </w:rPr>
        <w:t xml:space="preserve"> </w:t>
      </w:r>
      <w:r w:rsidR="007415EC" w:rsidRPr="001F4732">
        <w:rPr>
          <w:rFonts w:cs="Times New Roman"/>
          <w:sz w:val="24"/>
          <w:szCs w:val="24"/>
        </w:rPr>
        <w:t>of</w:t>
      </w:r>
      <w:r w:rsidR="00442156" w:rsidRPr="001F4732">
        <w:rPr>
          <w:rFonts w:cs="Times New Roman"/>
          <w:sz w:val="24"/>
          <w:szCs w:val="24"/>
        </w:rPr>
        <w:t xml:space="preserve"> </w:t>
      </w:r>
      <w:r w:rsidR="001F4732" w:rsidRPr="001F4732">
        <w:rPr>
          <w:rFonts w:cs="Times New Roman"/>
          <w:sz w:val="24"/>
          <w:szCs w:val="24"/>
        </w:rPr>
        <w:t>m</w:t>
      </w:r>
      <w:r w:rsidR="00442156" w:rsidRPr="001F4732">
        <w:rPr>
          <w:rFonts w:cs="Times New Roman"/>
          <w:sz w:val="24"/>
          <w:szCs w:val="24"/>
        </w:rPr>
        <w:t>utati</w:t>
      </w:r>
      <w:r w:rsidR="00426428" w:rsidRPr="001F4732">
        <w:rPr>
          <w:rFonts w:cs="Times New Roman"/>
          <w:sz w:val="24"/>
          <w:szCs w:val="24"/>
        </w:rPr>
        <w:t xml:space="preserve">ons per </w:t>
      </w:r>
      <w:r w:rsidR="001F4732" w:rsidRPr="001F4732">
        <w:rPr>
          <w:rFonts w:cs="Times New Roman"/>
          <w:sz w:val="24"/>
          <w:szCs w:val="24"/>
        </w:rPr>
        <w:t>c</w:t>
      </w:r>
      <w:bookmarkStart w:id="0" w:name="_GoBack"/>
      <w:bookmarkEnd w:id="0"/>
      <w:r w:rsidR="00426428" w:rsidRPr="001F4732">
        <w:rPr>
          <w:rFonts w:cs="Times New Roman"/>
          <w:sz w:val="24"/>
          <w:szCs w:val="24"/>
        </w:rPr>
        <w:t xml:space="preserve">ontrol and </w:t>
      </w:r>
      <w:r w:rsidR="001F4732" w:rsidRPr="001F4732">
        <w:rPr>
          <w:rFonts w:cs="Times New Roman"/>
          <w:sz w:val="24"/>
          <w:szCs w:val="24"/>
        </w:rPr>
        <w:t>c</w:t>
      </w:r>
      <w:r w:rsidR="00426428" w:rsidRPr="001F4732">
        <w:rPr>
          <w:rFonts w:cs="Times New Roman"/>
          <w:sz w:val="24"/>
          <w:szCs w:val="24"/>
        </w:rPr>
        <w:t xml:space="preserve">ase </w:t>
      </w:r>
      <w:r w:rsidR="001F4732" w:rsidRPr="001F4732">
        <w:rPr>
          <w:rFonts w:cs="Times New Roman"/>
          <w:sz w:val="24"/>
          <w:szCs w:val="24"/>
        </w:rPr>
        <w:t>g</w:t>
      </w:r>
      <w:r w:rsidR="00426428" w:rsidRPr="001F4732">
        <w:rPr>
          <w:rFonts w:cs="Times New Roman"/>
          <w:sz w:val="24"/>
          <w:szCs w:val="24"/>
        </w:rPr>
        <w:t>roups</w:t>
      </w:r>
      <w:r w:rsidR="00617DDB" w:rsidRPr="001F4732">
        <w:rPr>
          <w:rFonts w:cs="Times New Roman"/>
          <w:sz w:val="24"/>
          <w:szCs w:val="24"/>
        </w:rPr>
        <w:t>.</w:t>
      </w:r>
      <w:proofErr w:type="gramEnd"/>
    </w:p>
    <w:sectPr w:rsidR="00F324CA" w:rsidRPr="004F6838" w:rsidSect="007B0C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1EE"/>
    <w:rsid w:val="00110ECE"/>
    <w:rsid w:val="001168BA"/>
    <w:rsid w:val="001F4732"/>
    <w:rsid w:val="002B6131"/>
    <w:rsid w:val="00301F13"/>
    <w:rsid w:val="00426428"/>
    <w:rsid w:val="00442156"/>
    <w:rsid w:val="00454339"/>
    <w:rsid w:val="004F6838"/>
    <w:rsid w:val="005471EE"/>
    <w:rsid w:val="00577DB5"/>
    <w:rsid w:val="00617DDB"/>
    <w:rsid w:val="00735F8B"/>
    <w:rsid w:val="007415EC"/>
    <w:rsid w:val="007B0C63"/>
    <w:rsid w:val="007C5716"/>
    <w:rsid w:val="007D377F"/>
    <w:rsid w:val="00D23B42"/>
    <w:rsid w:val="00DE1332"/>
    <w:rsid w:val="00F07FC4"/>
    <w:rsid w:val="00F3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3EF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en-US" b="1" i="0" baseline="0">
                <a:latin typeface="Arial" panose="020B0604020202020204" pitchFamily="34" charset="0"/>
              </a:rPr>
              <a:t>MTHFR 1298 Controls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'Graphs 1298'!$O$31</c:f>
              <c:strCache>
                <c:ptCount val="1"/>
                <c:pt idx="0">
                  <c:v>1298 CC% Controls</c:v>
                </c:pt>
              </c:strCache>
            </c:strRef>
          </c:tx>
          <c:spPr>
            <a:solidFill>
              <a:srgbClr val="4472C4">
                <a:lumMod val="60000"/>
                <a:lumOff val="40000"/>
              </a:srgb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1298'!$N$32:$N$59</c:f>
              <c:strCache>
                <c:ptCount val="28"/>
                <c:pt idx="0">
                  <c:v>Ecuador (1) 195</c:v>
                </c:pt>
                <c:pt idx="1">
                  <c:v>Italy (1) 47</c:v>
                </c:pt>
                <c:pt idx="2">
                  <c:v>Japan (1) 387</c:v>
                </c:pt>
                <c:pt idx="3">
                  <c:v>Taiwan (3) 2051</c:v>
                </c:pt>
                <c:pt idx="4">
                  <c:v>India (2) 128</c:v>
                </c:pt>
                <c:pt idx="5">
                  <c:v>China (12) 5106</c:v>
                </c:pt>
                <c:pt idx="6">
                  <c:v>Singapore (1) 662</c:v>
                </c:pt>
                <c:pt idx="7">
                  <c:v>Brazil (3) 765</c:v>
                </c:pt>
                <c:pt idx="8">
                  <c:v>Turkey (2) 299</c:v>
                </c:pt>
                <c:pt idx="9">
                  <c:v>Thailand (1) 487</c:v>
                </c:pt>
                <c:pt idx="10">
                  <c:v>Kazakhstan (1) 604</c:v>
                </c:pt>
                <c:pt idx="11">
                  <c:v>US (5) 7622</c:v>
                </c:pt>
                <c:pt idx="12">
                  <c:v>Syria (1) 126</c:v>
                </c:pt>
                <c:pt idx="13">
                  <c:v>Canada (1) 780</c:v>
                </c:pt>
                <c:pt idx="14">
                  <c:v>Slovenia (1) 269</c:v>
                </c:pt>
                <c:pt idx="15">
                  <c:v>Russia (1) 785</c:v>
                </c:pt>
                <c:pt idx="16">
                  <c:v>Spain (1) 143</c:v>
                </c:pt>
                <c:pt idx="17">
                  <c:v>Greece (1) 283</c:v>
                </c:pt>
                <c:pt idx="18">
                  <c:v>Poland (2) 2568</c:v>
                </c:pt>
                <c:pt idx="19">
                  <c:v>Germany (1) 634</c:v>
                </c:pt>
                <c:pt idx="20">
                  <c:v>Sweden (1) 1072</c:v>
                </c:pt>
                <c:pt idx="21">
                  <c:v>Finland (1) 298</c:v>
                </c:pt>
                <c:pt idx="22">
                  <c:v>Jordan (1) 135</c:v>
                </c:pt>
                <c:pt idx="23">
                  <c:v>UK (1) 60</c:v>
                </c:pt>
                <c:pt idx="24">
                  <c:v>Australia (1) 41</c:v>
                </c:pt>
                <c:pt idx="25">
                  <c:v>Iran (1) 300</c:v>
                </c:pt>
                <c:pt idx="26">
                  <c:v>Pakinstan (1) 110</c:v>
                </c:pt>
                <c:pt idx="27">
                  <c:v>Cyprus (1) 1137</c:v>
                </c:pt>
              </c:strCache>
            </c:strRef>
          </c:cat>
          <c:val>
            <c:numRef>
              <c:f>'Graphs 1298'!$O$32:$O$59</c:f>
              <c:numCache>
                <c:formatCode>0</c:formatCode>
                <c:ptCount val="28"/>
                <c:pt idx="0">
                  <c:v>0.5</c:v>
                </c:pt>
                <c:pt idx="1">
                  <c:v>4.2</c:v>
                </c:pt>
                <c:pt idx="2">
                  <c:v>3.9</c:v>
                </c:pt>
                <c:pt idx="3">
                  <c:v>4.5999999999999996</c:v>
                </c:pt>
                <c:pt idx="4">
                  <c:v>3.1</c:v>
                </c:pt>
                <c:pt idx="5">
                  <c:v>6.1</c:v>
                </c:pt>
                <c:pt idx="6">
                  <c:v>6.2</c:v>
                </c:pt>
                <c:pt idx="7">
                  <c:v>5.0999999999999996</c:v>
                </c:pt>
                <c:pt idx="8">
                  <c:v>6.1</c:v>
                </c:pt>
                <c:pt idx="9">
                  <c:v>4.7</c:v>
                </c:pt>
                <c:pt idx="10">
                  <c:v>7.3</c:v>
                </c:pt>
                <c:pt idx="11">
                  <c:v>8.4</c:v>
                </c:pt>
                <c:pt idx="12">
                  <c:v>10.3</c:v>
                </c:pt>
                <c:pt idx="13">
                  <c:v>9.4</c:v>
                </c:pt>
                <c:pt idx="14">
                  <c:v>7.8</c:v>
                </c:pt>
                <c:pt idx="15">
                  <c:v>9.7000000000000011</c:v>
                </c:pt>
                <c:pt idx="16">
                  <c:v>9.1</c:v>
                </c:pt>
                <c:pt idx="17">
                  <c:v>11</c:v>
                </c:pt>
                <c:pt idx="18">
                  <c:v>10.9</c:v>
                </c:pt>
                <c:pt idx="19">
                  <c:v>11.5</c:v>
                </c:pt>
                <c:pt idx="20">
                  <c:v>9.8000000000000007</c:v>
                </c:pt>
                <c:pt idx="21">
                  <c:v>12.8</c:v>
                </c:pt>
                <c:pt idx="22">
                  <c:v>9.6</c:v>
                </c:pt>
                <c:pt idx="23">
                  <c:v>18.3</c:v>
                </c:pt>
                <c:pt idx="24">
                  <c:v>0</c:v>
                </c:pt>
                <c:pt idx="25">
                  <c:v>20</c:v>
                </c:pt>
                <c:pt idx="26">
                  <c:v>4.5</c:v>
                </c:pt>
                <c:pt idx="27">
                  <c:v>42.7</c:v>
                </c:pt>
              </c:numCache>
            </c:numRef>
          </c:val>
        </c:ser>
        <c:ser>
          <c:idx val="1"/>
          <c:order val="1"/>
          <c:tx>
            <c:strRef>
              <c:f>'Graphs 1298'!$P$31</c:f>
              <c:strCache>
                <c:ptCount val="1"/>
                <c:pt idx="0">
                  <c:v>1298 AC% Controls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1298'!$N$32:$N$59</c:f>
              <c:strCache>
                <c:ptCount val="28"/>
                <c:pt idx="0">
                  <c:v>Ecuador (1) 195</c:v>
                </c:pt>
                <c:pt idx="1">
                  <c:v>Italy (1) 47</c:v>
                </c:pt>
                <c:pt idx="2">
                  <c:v>Japan (1) 387</c:v>
                </c:pt>
                <c:pt idx="3">
                  <c:v>Taiwan (3) 2051</c:v>
                </c:pt>
                <c:pt idx="4">
                  <c:v>India (2) 128</c:v>
                </c:pt>
                <c:pt idx="5">
                  <c:v>China (12) 5106</c:v>
                </c:pt>
                <c:pt idx="6">
                  <c:v>Singapore (1) 662</c:v>
                </c:pt>
                <c:pt idx="7">
                  <c:v>Brazil (3) 765</c:v>
                </c:pt>
                <c:pt idx="8">
                  <c:v>Turkey (2) 299</c:v>
                </c:pt>
                <c:pt idx="9">
                  <c:v>Thailand (1) 487</c:v>
                </c:pt>
                <c:pt idx="10">
                  <c:v>Kazakhstan (1) 604</c:v>
                </c:pt>
                <c:pt idx="11">
                  <c:v>US (5) 7622</c:v>
                </c:pt>
                <c:pt idx="12">
                  <c:v>Syria (1) 126</c:v>
                </c:pt>
                <c:pt idx="13">
                  <c:v>Canada (1) 780</c:v>
                </c:pt>
                <c:pt idx="14">
                  <c:v>Slovenia (1) 269</c:v>
                </c:pt>
                <c:pt idx="15">
                  <c:v>Russia (1) 785</c:v>
                </c:pt>
                <c:pt idx="16">
                  <c:v>Spain (1) 143</c:v>
                </c:pt>
                <c:pt idx="17">
                  <c:v>Greece (1) 283</c:v>
                </c:pt>
                <c:pt idx="18">
                  <c:v>Poland (2) 2568</c:v>
                </c:pt>
                <c:pt idx="19">
                  <c:v>Germany (1) 634</c:v>
                </c:pt>
                <c:pt idx="20">
                  <c:v>Sweden (1) 1072</c:v>
                </c:pt>
                <c:pt idx="21">
                  <c:v>Finland (1) 298</c:v>
                </c:pt>
                <c:pt idx="22">
                  <c:v>Jordan (1) 135</c:v>
                </c:pt>
                <c:pt idx="23">
                  <c:v>UK (1) 60</c:v>
                </c:pt>
                <c:pt idx="24">
                  <c:v>Australia (1) 41</c:v>
                </c:pt>
                <c:pt idx="25">
                  <c:v>Iran (1) 300</c:v>
                </c:pt>
                <c:pt idx="26">
                  <c:v>Pakinstan (1) 110</c:v>
                </c:pt>
                <c:pt idx="27">
                  <c:v>Cyprus (1) 1137</c:v>
                </c:pt>
              </c:strCache>
            </c:strRef>
          </c:cat>
          <c:val>
            <c:numRef>
              <c:f>'Graphs 1298'!$P$32:$P$59</c:f>
              <c:numCache>
                <c:formatCode>0</c:formatCode>
                <c:ptCount val="28"/>
                <c:pt idx="0">
                  <c:v>1.5</c:v>
                </c:pt>
                <c:pt idx="1">
                  <c:v>29.8</c:v>
                </c:pt>
                <c:pt idx="2">
                  <c:v>30</c:v>
                </c:pt>
                <c:pt idx="3">
                  <c:v>33.5</c:v>
                </c:pt>
                <c:pt idx="4">
                  <c:v>37.5</c:v>
                </c:pt>
                <c:pt idx="5">
                  <c:v>35</c:v>
                </c:pt>
                <c:pt idx="6">
                  <c:v>35.300000000000011</c:v>
                </c:pt>
                <c:pt idx="7">
                  <c:v>40.9</c:v>
                </c:pt>
                <c:pt idx="8">
                  <c:v>40.1</c:v>
                </c:pt>
                <c:pt idx="9">
                  <c:v>42.3</c:v>
                </c:pt>
                <c:pt idx="10">
                  <c:v>40.1</c:v>
                </c:pt>
                <c:pt idx="11">
                  <c:v>39.300000000000011</c:v>
                </c:pt>
                <c:pt idx="12">
                  <c:v>38.1</c:v>
                </c:pt>
                <c:pt idx="13">
                  <c:v>39.6</c:v>
                </c:pt>
                <c:pt idx="14">
                  <c:v>43.5</c:v>
                </c:pt>
                <c:pt idx="15">
                  <c:v>42</c:v>
                </c:pt>
                <c:pt idx="16">
                  <c:v>42.7</c:v>
                </c:pt>
                <c:pt idx="17">
                  <c:v>41</c:v>
                </c:pt>
                <c:pt idx="18">
                  <c:v>42.3</c:v>
                </c:pt>
                <c:pt idx="19">
                  <c:v>42</c:v>
                </c:pt>
                <c:pt idx="20">
                  <c:v>44.8</c:v>
                </c:pt>
                <c:pt idx="21">
                  <c:v>42.6</c:v>
                </c:pt>
                <c:pt idx="22">
                  <c:v>47.4</c:v>
                </c:pt>
                <c:pt idx="23">
                  <c:v>41.7</c:v>
                </c:pt>
                <c:pt idx="24">
                  <c:v>63.4</c:v>
                </c:pt>
                <c:pt idx="25">
                  <c:v>45</c:v>
                </c:pt>
                <c:pt idx="26">
                  <c:v>68.2</c:v>
                </c:pt>
                <c:pt idx="27">
                  <c:v>44.1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5961600"/>
        <c:axId val="137864320"/>
      </c:barChart>
      <c:catAx>
        <c:axId val="1759616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37864320"/>
        <c:crosses val="autoZero"/>
        <c:auto val="1"/>
        <c:lblAlgn val="ctr"/>
        <c:lblOffset val="100"/>
        <c:noMultiLvlLbl val="0"/>
      </c:catAx>
      <c:valAx>
        <c:axId val="137864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75961600"/>
        <c:crosses val="autoZero"/>
        <c:crossBetween val="between"/>
      </c:valAx>
      <c:spPr>
        <a:noFill/>
        <a:ln>
          <a:solidFill>
            <a:sysClr val="windowText" lastClr="000000"/>
          </a:solidFill>
          <a:prstDash val="solid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en-US" b="1" i="0" baseline="0">
                <a:latin typeface="Arial" panose="020B0604020202020204" pitchFamily="34" charset="0"/>
              </a:rPr>
              <a:t>MTHFR 1298 BC Cases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'Graphs 1298'!$O$1</c:f>
              <c:strCache>
                <c:ptCount val="1"/>
                <c:pt idx="0">
                  <c:v>1298 CC% BC Cases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1298'!$N$2:$N$29</c:f>
              <c:strCache>
                <c:ptCount val="28"/>
                <c:pt idx="0">
                  <c:v>Ecuador (1) 114</c:v>
                </c:pt>
                <c:pt idx="1">
                  <c:v>Italy (1) 18</c:v>
                </c:pt>
                <c:pt idx="2">
                  <c:v>Japan (1) 388</c:v>
                </c:pt>
                <c:pt idx="3">
                  <c:v>Taiwan (3) 1725</c:v>
                </c:pt>
                <c:pt idx="4">
                  <c:v>India (2) 123</c:v>
                </c:pt>
                <c:pt idx="5">
                  <c:v>China (12) 4828</c:v>
                </c:pt>
                <c:pt idx="6">
                  <c:v>Singapore (1) 380</c:v>
                </c:pt>
                <c:pt idx="7">
                  <c:v>Brazil (3) 765</c:v>
                </c:pt>
                <c:pt idx="8">
                  <c:v>Turkey (2) 169</c:v>
                </c:pt>
                <c:pt idx="9">
                  <c:v>Thailand (1) 563</c:v>
                </c:pt>
                <c:pt idx="10">
                  <c:v>Kazakhstan (1) 315</c:v>
                </c:pt>
                <c:pt idx="11">
                  <c:v>US (5) 5659</c:v>
                </c:pt>
                <c:pt idx="12">
                  <c:v>Syria (1) 119</c:v>
                </c:pt>
                <c:pt idx="13">
                  <c:v>Canada (1) 941</c:v>
                </c:pt>
                <c:pt idx="14">
                  <c:v>Slovenia (1) 524</c:v>
                </c:pt>
                <c:pt idx="15">
                  <c:v>Russia (1) 831</c:v>
                </c:pt>
                <c:pt idx="16">
                  <c:v>Spain (1) 142</c:v>
                </c:pt>
                <c:pt idx="17">
                  <c:v>Greece (1) 300</c:v>
                </c:pt>
                <c:pt idx="18">
                  <c:v>Poland (2) 2305</c:v>
                </c:pt>
                <c:pt idx="19">
                  <c:v>Germany (1) 582</c:v>
                </c:pt>
                <c:pt idx="20">
                  <c:v>Sweden (1) 541</c:v>
                </c:pt>
                <c:pt idx="21">
                  <c:v>Finland (1) 223</c:v>
                </c:pt>
                <c:pt idx="22">
                  <c:v>Jordan (1) 146</c:v>
                </c:pt>
                <c:pt idx="23">
                  <c:v>UK (1) 55</c:v>
                </c:pt>
                <c:pt idx="24">
                  <c:v>Australia (1) 21</c:v>
                </c:pt>
                <c:pt idx="25">
                  <c:v>Iran (1) 294</c:v>
                </c:pt>
                <c:pt idx="26">
                  <c:v>Pakistan (1) 110</c:v>
                </c:pt>
                <c:pt idx="27">
                  <c:v>Cyprus (1) 1071</c:v>
                </c:pt>
              </c:strCache>
            </c:strRef>
          </c:cat>
          <c:val>
            <c:numRef>
              <c:f>'Graphs 1298'!$O$2:$O$29</c:f>
              <c:numCache>
                <c:formatCode>0</c:formatCode>
                <c:ptCount val="28"/>
                <c:pt idx="0">
                  <c:v>0.9</c:v>
                </c:pt>
                <c:pt idx="1">
                  <c:v>5.6</c:v>
                </c:pt>
                <c:pt idx="2">
                  <c:v>3.9</c:v>
                </c:pt>
                <c:pt idx="3">
                  <c:v>4.2</c:v>
                </c:pt>
                <c:pt idx="4">
                  <c:v>5.7</c:v>
                </c:pt>
                <c:pt idx="5">
                  <c:v>6.5</c:v>
                </c:pt>
                <c:pt idx="6">
                  <c:v>4.2</c:v>
                </c:pt>
                <c:pt idx="7">
                  <c:v>7.1</c:v>
                </c:pt>
                <c:pt idx="8">
                  <c:v>14.8</c:v>
                </c:pt>
                <c:pt idx="9">
                  <c:v>6.8</c:v>
                </c:pt>
                <c:pt idx="10">
                  <c:v>11.1</c:v>
                </c:pt>
                <c:pt idx="11">
                  <c:v>8.6</c:v>
                </c:pt>
                <c:pt idx="12">
                  <c:v>19.3</c:v>
                </c:pt>
                <c:pt idx="13">
                  <c:v>9</c:v>
                </c:pt>
                <c:pt idx="14">
                  <c:v>9</c:v>
                </c:pt>
                <c:pt idx="15">
                  <c:v>9.6</c:v>
                </c:pt>
                <c:pt idx="16">
                  <c:v>11.3</c:v>
                </c:pt>
                <c:pt idx="17">
                  <c:v>12</c:v>
                </c:pt>
                <c:pt idx="18">
                  <c:v>11</c:v>
                </c:pt>
                <c:pt idx="19">
                  <c:v>9.1</c:v>
                </c:pt>
                <c:pt idx="20">
                  <c:v>10.6</c:v>
                </c:pt>
                <c:pt idx="21">
                  <c:v>12.1</c:v>
                </c:pt>
                <c:pt idx="22">
                  <c:v>11.6</c:v>
                </c:pt>
                <c:pt idx="23">
                  <c:v>5.4</c:v>
                </c:pt>
                <c:pt idx="24">
                  <c:v>0</c:v>
                </c:pt>
                <c:pt idx="25">
                  <c:v>12.2</c:v>
                </c:pt>
                <c:pt idx="26">
                  <c:v>18.2</c:v>
                </c:pt>
                <c:pt idx="27">
                  <c:v>43.7</c:v>
                </c:pt>
              </c:numCache>
            </c:numRef>
          </c:val>
        </c:ser>
        <c:ser>
          <c:idx val="1"/>
          <c:order val="1"/>
          <c:tx>
            <c:strRef>
              <c:f>'Graphs 1298'!$P$1</c:f>
              <c:strCache>
                <c:ptCount val="1"/>
                <c:pt idx="0">
                  <c:v>1298 AC% BC Cases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1298'!$N$2:$N$29</c:f>
              <c:strCache>
                <c:ptCount val="28"/>
                <c:pt idx="0">
                  <c:v>Ecuador (1) 114</c:v>
                </c:pt>
                <c:pt idx="1">
                  <c:v>Italy (1) 18</c:v>
                </c:pt>
                <c:pt idx="2">
                  <c:v>Japan (1) 388</c:v>
                </c:pt>
                <c:pt idx="3">
                  <c:v>Taiwan (3) 1725</c:v>
                </c:pt>
                <c:pt idx="4">
                  <c:v>India (2) 123</c:v>
                </c:pt>
                <c:pt idx="5">
                  <c:v>China (12) 4828</c:v>
                </c:pt>
                <c:pt idx="6">
                  <c:v>Singapore (1) 380</c:v>
                </c:pt>
                <c:pt idx="7">
                  <c:v>Brazil (3) 765</c:v>
                </c:pt>
                <c:pt idx="8">
                  <c:v>Turkey (2) 169</c:v>
                </c:pt>
                <c:pt idx="9">
                  <c:v>Thailand (1) 563</c:v>
                </c:pt>
                <c:pt idx="10">
                  <c:v>Kazakhstan (1) 315</c:v>
                </c:pt>
                <c:pt idx="11">
                  <c:v>US (5) 5659</c:v>
                </c:pt>
                <c:pt idx="12">
                  <c:v>Syria (1) 119</c:v>
                </c:pt>
                <c:pt idx="13">
                  <c:v>Canada (1) 941</c:v>
                </c:pt>
                <c:pt idx="14">
                  <c:v>Slovenia (1) 524</c:v>
                </c:pt>
                <c:pt idx="15">
                  <c:v>Russia (1) 831</c:v>
                </c:pt>
                <c:pt idx="16">
                  <c:v>Spain (1) 142</c:v>
                </c:pt>
                <c:pt idx="17">
                  <c:v>Greece (1) 300</c:v>
                </c:pt>
                <c:pt idx="18">
                  <c:v>Poland (2) 2305</c:v>
                </c:pt>
                <c:pt idx="19">
                  <c:v>Germany (1) 582</c:v>
                </c:pt>
                <c:pt idx="20">
                  <c:v>Sweden (1) 541</c:v>
                </c:pt>
                <c:pt idx="21">
                  <c:v>Finland (1) 223</c:v>
                </c:pt>
                <c:pt idx="22">
                  <c:v>Jordan (1) 146</c:v>
                </c:pt>
                <c:pt idx="23">
                  <c:v>UK (1) 55</c:v>
                </c:pt>
                <c:pt idx="24">
                  <c:v>Australia (1) 21</c:v>
                </c:pt>
                <c:pt idx="25">
                  <c:v>Iran (1) 294</c:v>
                </c:pt>
                <c:pt idx="26">
                  <c:v>Pakistan (1) 110</c:v>
                </c:pt>
                <c:pt idx="27">
                  <c:v>Cyprus (1) 1071</c:v>
                </c:pt>
              </c:strCache>
            </c:strRef>
          </c:cat>
          <c:val>
            <c:numRef>
              <c:f>'Graphs 1298'!$P$2:$P$29</c:f>
              <c:numCache>
                <c:formatCode>0</c:formatCode>
                <c:ptCount val="28"/>
                <c:pt idx="0">
                  <c:v>2.6</c:v>
                </c:pt>
                <c:pt idx="1">
                  <c:v>44.4</c:v>
                </c:pt>
                <c:pt idx="2">
                  <c:v>30.6</c:v>
                </c:pt>
                <c:pt idx="3">
                  <c:v>31.6</c:v>
                </c:pt>
                <c:pt idx="4">
                  <c:v>42.3</c:v>
                </c:pt>
                <c:pt idx="5">
                  <c:v>34.700000000000003</c:v>
                </c:pt>
                <c:pt idx="6">
                  <c:v>36.6</c:v>
                </c:pt>
                <c:pt idx="7">
                  <c:v>41.7</c:v>
                </c:pt>
                <c:pt idx="8">
                  <c:v>45.6</c:v>
                </c:pt>
                <c:pt idx="9">
                  <c:v>39.6</c:v>
                </c:pt>
                <c:pt idx="10">
                  <c:v>45.1</c:v>
                </c:pt>
                <c:pt idx="11">
                  <c:v>40.300000000000011</c:v>
                </c:pt>
                <c:pt idx="12">
                  <c:v>43.7</c:v>
                </c:pt>
                <c:pt idx="13">
                  <c:v>41.5</c:v>
                </c:pt>
                <c:pt idx="14">
                  <c:v>41.8</c:v>
                </c:pt>
                <c:pt idx="15">
                  <c:v>42.5</c:v>
                </c:pt>
                <c:pt idx="16">
                  <c:v>42.2</c:v>
                </c:pt>
                <c:pt idx="17">
                  <c:v>45</c:v>
                </c:pt>
                <c:pt idx="18">
                  <c:v>43.7</c:v>
                </c:pt>
                <c:pt idx="19">
                  <c:v>44</c:v>
                </c:pt>
                <c:pt idx="20">
                  <c:v>44.7</c:v>
                </c:pt>
                <c:pt idx="21">
                  <c:v>45.7</c:v>
                </c:pt>
                <c:pt idx="22">
                  <c:v>41.8</c:v>
                </c:pt>
                <c:pt idx="23">
                  <c:v>45.5</c:v>
                </c:pt>
                <c:pt idx="24">
                  <c:v>81</c:v>
                </c:pt>
                <c:pt idx="25">
                  <c:v>32.700000000000003</c:v>
                </c:pt>
                <c:pt idx="26">
                  <c:v>50</c:v>
                </c:pt>
                <c:pt idx="27">
                  <c:v>43.4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5963136"/>
        <c:axId val="137863168"/>
      </c:barChart>
      <c:catAx>
        <c:axId val="17596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37863168"/>
        <c:crosses val="autoZero"/>
        <c:auto val="1"/>
        <c:lblAlgn val="ctr"/>
        <c:lblOffset val="100"/>
        <c:noMultiLvlLbl val="0"/>
      </c:catAx>
      <c:valAx>
        <c:axId val="137863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75963136"/>
        <c:crosses val="autoZero"/>
        <c:crossBetween val="between"/>
      </c:valAx>
      <c:spPr>
        <a:noFill/>
        <a:ln cmpd="sng">
          <a:solidFill>
            <a:sysClr val="windowText" lastClr="00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Mildred Gonzales</dc:creator>
  <cp:lastModifiedBy>User</cp:lastModifiedBy>
  <cp:revision>2</cp:revision>
  <dcterms:created xsi:type="dcterms:W3CDTF">2016-10-27T00:59:00Z</dcterms:created>
  <dcterms:modified xsi:type="dcterms:W3CDTF">2016-10-27T00:59:00Z</dcterms:modified>
</cp:coreProperties>
</file>