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B0" w:rsidRPr="006529B0" w:rsidRDefault="006529B0" w:rsidP="006529B0">
      <w:pPr>
        <w:widowControl/>
        <w:jc w:val="left"/>
        <w:rPr>
          <w:rFonts w:eastAsia="MS Minngs"/>
          <w:b/>
          <w:bCs/>
          <w:kern w:val="0"/>
          <w:sz w:val="24"/>
          <w:lang w:eastAsia="ja-JP"/>
        </w:rPr>
      </w:pPr>
    </w:p>
    <w:p w:rsidR="006529B0" w:rsidRDefault="006529B0" w:rsidP="006529B0">
      <w:pPr>
        <w:widowControl/>
        <w:jc w:val="left"/>
        <w:rPr>
          <w:rFonts w:ascii="Calibri" w:eastAsia="MS Minngs" w:hAnsi="Calibri"/>
          <w:b/>
          <w:bCs/>
          <w:kern w:val="0"/>
          <w:sz w:val="20"/>
          <w:szCs w:val="20"/>
          <w:lang w:eastAsia="ja-JP"/>
        </w:rPr>
      </w:pPr>
      <w:r>
        <w:rPr>
          <w:noProof/>
        </w:rPr>
        <w:drawing>
          <wp:inline distT="0" distB="0" distL="0" distR="0">
            <wp:extent cx="5487035" cy="4572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035" cy="4572635"/>
                    </a:xfrm>
                    <a:prstGeom prst="rect">
                      <a:avLst/>
                    </a:prstGeom>
                    <a:noFill/>
                  </pic:spPr>
                </pic:pic>
              </a:graphicData>
            </a:graphic>
          </wp:inline>
        </w:drawing>
      </w:r>
    </w:p>
    <w:p w:rsidR="006529B0" w:rsidRDefault="006529B0" w:rsidP="006529B0">
      <w:pPr>
        <w:widowControl/>
        <w:jc w:val="left"/>
        <w:rPr>
          <w:rFonts w:ascii="Calibri" w:eastAsia="MS Minngs" w:hAnsi="Calibri"/>
          <w:b/>
          <w:bCs/>
          <w:kern w:val="0"/>
          <w:sz w:val="20"/>
          <w:szCs w:val="20"/>
          <w:lang w:eastAsia="ja-JP"/>
        </w:rPr>
      </w:pPr>
    </w:p>
    <w:p w:rsidR="006529B0" w:rsidRPr="006529B0" w:rsidRDefault="006529B0" w:rsidP="006529B0">
      <w:pPr>
        <w:widowControl/>
        <w:jc w:val="left"/>
        <w:rPr>
          <w:rFonts w:ascii="Calibri" w:eastAsia="MS Minngs" w:hAnsi="Calibri"/>
          <w:bCs/>
          <w:kern w:val="0"/>
          <w:sz w:val="20"/>
          <w:szCs w:val="20"/>
          <w:lang w:eastAsia="ja-JP"/>
        </w:rPr>
      </w:pPr>
      <w:proofErr w:type="gramStart"/>
      <w:r w:rsidRPr="006529B0">
        <w:rPr>
          <w:rFonts w:ascii="Calibri" w:eastAsia="MS Minngs" w:hAnsi="Calibri"/>
          <w:b/>
          <w:bCs/>
          <w:kern w:val="0"/>
          <w:sz w:val="20"/>
          <w:szCs w:val="20"/>
          <w:lang w:eastAsia="ja-JP"/>
        </w:rPr>
        <w:t xml:space="preserve">Supplementary Figure </w:t>
      </w:r>
      <w:r w:rsidR="00CB56FC" w:rsidRPr="006529B0">
        <w:rPr>
          <w:rFonts w:ascii="Calibri" w:eastAsia="MS Minngs" w:hAnsi="Calibri"/>
          <w:b/>
          <w:bCs/>
          <w:kern w:val="0"/>
          <w:sz w:val="20"/>
          <w:szCs w:val="20"/>
          <w:lang w:eastAsia="ja-JP"/>
        </w:rPr>
        <w:fldChar w:fldCharType="begin"/>
      </w:r>
      <w:r w:rsidRPr="006529B0">
        <w:rPr>
          <w:rFonts w:ascii="Calibri" w:eastAsia="MS Minngs" w:hAnsi="Calibri"/>
          <w:b/>
          <w:bCs/>
          <w:kern w:val="0"/>
          <w:sz w:val="20"/>
          <w:szCs w:val="20"/>
          <w:lang w:eastAsia="ja-JP"/>
        </w:rPr>
        <w:instrText xml:space="preserve"> SEQ Supplementary_Figure \* ARABIC </w:instrText>
      </w:r>
      <w:r w:rsidR="00CB56FC" w:rsidRPr="006529B0">
        <w:rPr>
          <w:rFonts w:ascii="Calibri" w:eastAsia="MS Minngs" w:hAnsi="Calibri"/>
          <w:b/>
          <w:bCs/>
          <w:kern w:val="0"/>
          <w:sz w:val="20"/>
          <w:szCs w:val="20"/>
          <w:lang w:eastAsia="ja-JP"/>
        </w:rPr>
        <w:fldChar w:fldCharType="separate"/>
      </w:r>
      <w:r w:rsidRPr="006529B0">
        <w:rPr>
          <w:rFonts w:ascii="Calibri" w:eastAsia="MS Minngs" w:hAnsi="Calibri"/>
          <w:b/>
          <w:bCs/>
          <w:noProof/>
          <w:kern w:val="0"/>
          <w:sz w:val="20"/>
          <w:szCs w:val="20"/>
          <w:lang w:eastAsia="ja-JP"/>
        </w:rPr>
        <w:t>1</w:t>
      </w:r>
      <w:r w:rsidR="00CB56FC" w:rsidRPr="006529B0">
        <w:rPr>
          <w:rFonts w:ascii="Calibri" w:eastAsia="MS Minngs" w:hAnsi="Calibri"/>
          <w:b/>
          <w:bCs/>
          <w:kern w:val="0"/>
          <w:sz w:val="20"/>
          <w:szCs w:val="20"/>
          <w:lang w:eastAsia="ja-JP"/>
        </w:rPr>
        <w:fldChar w:fldCharType="end"/>
      </w:r>
      <w:r w:rsidRPr="006529B0">
        <w:rPr>
          <w:rFonts w:ascii="Calibri" w:eastAsia="MS Minngs" w:hAnsi="Calibri"/>
          <w:b/>
          <w:bCs/>
          <w:kern w:val="0"/>
          <w:sz w:val="20"/>
          <w:szCs w:val="20"/>
          <w:lang w:eastAsia="ja-JP"/>
        </w:rPr>
        <w:t>.</w:t>
      </w:r>
      <w:proofErr w:type="gramEnd"/>
      <w:r w:rsidRPr="006529B0">
        <w:rPr>
          <w:rFonts w:ascii="Calibri" w:eastAsia="MS Minngs" w:hAnsi="Calibri"/>
          <w:bCs/>
          <w:kern w:val="0"/>
          <w:sz w:val="20"/>
          <w:szCs w:val="20"/>
          <w:lang w:eastAsia="ja-JP"/>
        </w:rPr>
        <w:t xml:space="preserve"> Hierarchical clustering of 341 neonate cord blood samples on 500 blood cell-type specific </w:t>
      </w:r>
      <w:proofErr w:type="spellStart"/>
      <w:r w:rsidRPr="006529B0">
        <w:rPr>
          <w:rFonts w:ascii="Calibri" w:eastAsia="MS Minngs" w:hAnsi="Calibri"/>
          <w:bCs/>
          <w:kern w:val="0"/>
          <w:sz w:val="20"/>
          <w:szCs w:val="20"/>
          <w:lang w:eastAsia="ja-JP"/>
        </w:rPr>
        <w:t>CpGs</w:t>
      </w:r>
      <w:proofErr w:type="spellEnd"/>
      <w:r w:rsidRPr="006529B0">
        <w:rPr>
          <w:rFonts w:ascii="Calibri" w:eastAsia="MS Minngs" w:hAnsi="Calibri"/>
          <w:bCs/>
          <w:kern w:val="0"/>
          <w:sz w:val="20"/>
          <w:szCs w:val="20"/>
          <w:lang w:eastAsia="ja-JP"/>
        </w:rPr>
        <w:t xml:space="preserve">. Rows are 500 </w:t>
      </w:r>
      <w:proofErr w:type="spellStart"/>
      <w:r w:rsidRPr="006529B0">
        <w:rPr>
          <w:rFonts w:ascii="Calibri" w:eastAsia="MS Minngs" w:hAnsi="Calibri"/>
          <w:bCs/>
          <w:kern w:val="0"/>
          <w:sz w:val="20"/>
          <w:szCs w:val="20"/>
          <w:lang w:eastAsia="ja-JP"/>
        </w:rPr>
        <w:t>CpGs</w:t>
      </w:r>
      <w:proofErr w:type="spellEnd"/>
      <w:r w:rsidRPr="006529B0">
        <w:rPr>
          <w:rFonts w:ascii="Calibri" w:eastAsia="MS Minngs" w:hAnsi="Calibri"/>
          <w:bCs/>
          <w:kern w:val="0"/>
          <w:sz w:val="20"/>
          <w:szCs w:val="20"/>
          <w:lang w:eastAsia="ja-JP"/>
        </w:rPr>
        <w:t xml:space="preserve"> determined using Houseman et al.’s (2012) method as those showing largest differences between cell sorted samples of six blood cell types in adult blood. Columns correspond to 341 neonate samples. Measurements are </w:t>
      </w:r>
      <w:proofErr w:type="spellStart"/>
      <w:r w:rsidRPr="006529B0">
        <w:rPr>
          <w:rFonts w:ascii="Calibri" w:eastAsia="MS Minngs" w:hAnsi="Calibri"/>
          <w:bCs/>
          <w:kern w:val="0"/>
          <w:sz w:val="20"/>
          <w:szCs w:val="20"/>
          <w:lang w:eastAsia="ja-JP"/>
        </w:rPr>
        <w:t>DNAm</w:t>
      </w:r>
      <w:proofErr w:type="spellEnd"/>
      <w:r w:rsidRPr="006529B0">
        <w:rPr>
          <w:rFonts w:ascii="Calibri" w:eastAsia="MS Minngs" w:hAnsi="Calibri"/>
          <w:bCs/>
          <w:kern w:val="0"/>
          <w:sz w:val="20"/>
          <w:szCs w:val="20"/>
          <w:lang w:eastAsia="ja-JP"/>
        </w:rPr>
        <w:t xml:space="preserve"> for the 341 neonate samples on these 500 </w:t>
      </w:r>
      <w:proofErr w:type="spellStart"/>
      <w:r w:rsidRPr="006529B0">
        <w:rPr>
          <w:rFonts w:ascii="Calibri" w:eastAsia="MS Minngs" w:hAnsi="Calibri"/>
          <w:bCs/>
          <w:kern w:val="0"/>
          <w:sz w:val="20"/>
          <w:szCs w:val="20"/>
          <w:lang w:eastAsia="ja-JP"/>
        </w:rPr>
        <w:t>CpGs</w:t>
      </w:r>
      <w:proofErr w:type="spellEnd"/>
      <w:r w:rsidRPr="006529B0">
        <w:rPr>
          <w:rFonts w:ascii="Calibri" w:eastAsia="MS Minngs" w:hAnsi="Calibri"/>
          <w:bCs/>
          <w:kern w:val="0"/>
          <w:sz w:val="20"/>
          <w:szCs w:val="20"/>
          <w:lang w:eastAsia="ja-JP"/>
        </w:rPr>
        <w:t>. Measurements are row-wise centered and scaled.</w:t>
      </w:r>
    </w:p>
    <w:p w:rsidR="006529B0" w:rsidRDefault="006529B0">
      <w:pPr>
        <w:widowControl/>
        <w:jc w:val="left"/>
      </w:pPr>
      <w:r>
        <w:br w:type="page"/>
      </w:r>
    </w:p>
    <w:p w:rsidR="00AA0C12" w:rsidRDefault="00AA0C12"/>
    <w:p w:rsidR="00491E95" w:rsidRDefault="00491E95" w:rsidP="00491E95">
      <w:pPr>
        <w:widowControl/>
        <w:jc w:val="left"/>
        <w:rPr>
          <w:rFonts w:ascii="Calibri" w:eastAsia="MS Minngs" w:hAnsi="Calibri"/>
          <w:b/>
          <w:bCs/>
          <w:kern w:val="0"/>
          <w:sz w:val="20"/>
          <w:szCs w:val="20"/>
          <w:lang w:eastAsia="ja-JP"/>
        </w:rPr>
      </w:pPr>
    </w:p>
    <w:p w:rsidR="00491E95" w:rsidRDefault="00491E95" w:rsidP="00491E95">
      <w:pPr>
        <w:widowControl/>
        <w:jc w:val="left"/>
        <w:rPr>
          <w:rFonts w:ascii="Calibri" w:eastAsia="MS Minngs" w:hAnsi="Calibri"/>
          <w:b/>
          <w:bCs/>
          <w:kern w:val="0"/>
          <w:sz w:val="20"/>
          <w:szCs w:val="20"/>
          <w:lang w:eastAsia="ja-JP"/>
        </w:rPr>
      </w:pPr>
    </w:p>
    <w:p w:rsidR="00491E95" w:rsidRDefault="00491E95" w:rsidP="00491E95">
      <w:pPr>
        <w:widowControl/>
        <w:jc w:val="left"/>
        <w:rPr>
          <w:rFonts w:ascii="Calibri" w:eastAsia="MS Minngs" w:hAnsi="Calibri"/>
          <w:b/>
          <w:bCs/>
          <w:kern w:val="0"/>
          <w:sz w:val="20"/>
          <w:szCs w:val="20"/>
          <w:lang w:eastAsia="ja-JP"/>
        </w:rPr>
      </w:pPr>
      <w:r>
        <w:rPr>
          <w:rFonts w:ascii="Calibri" w:eastAsia="MS Minngs" w:hAnsi="Calibri"/>
          <w:b/>
          <w:bCs/>
          <w:noProof/>
          <w:kern w:val="0"/>
          <w:sz w:val="20"/>
          <w:szCs w:val="20"/>
        </w:rPr>
        <w:drawing>
          <wp:inline distT="0" distB="0" distL="0" distR="0">
            <wp:extent cx="5480685" cy="45662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685" cy="4566285"/>
                    </a:xfrm>
                    <a:prstGeom prst="rect">
                      <a:avLst/>
                    </a:prstGeom>
                    <a:noFill/>
                  </pic:spPr>
                </pic:pic>
              </a:graphicData>
            </a:graphic>
          </wp:inline>
        </w:drawing>
      </w:r>
    </w:p>
    <w:p w:rsidR="00491E95" w:rsidRDefault="00491E95" w:rsidP="00491E95">
      <w:pPr>
        <w:widowControl/>
        <w:jc w:val="left"/>
        <w:rPr>
          <w:rFonts w:ascii="Calibri" w:eastAsia="MS Minngs" w:hAnsi="Calibri"/>
          <w:b/>
          <w:bCs/>
          <w:kern w:val="0"/>
          <w:sz w:val="20"/>
          <w:szCs w:val="20"/>
          <w:lang w:eastAsia="ja-JP"/>
        </w:rPr>
      </w:pPr>
    </w:p>
    <w:p w:rsidR="00491E95" w:rsidRDefault="00491E95" w:rsidP="00491E95">
      <w:pPr>
        <w:widowControl/>
        <w:jc w:val="left"/>
        <w:rPr>
          <w:rFonts w:ascii="Calibri" w:eastAsia="MS Minngs" w:hAnsi="Calibri"/>
          <w:b/>
          <w:bCs/>
          <w:kern w:val="0"/>
          <w:sz w:val="20"/>
          <w:szCs w:val="20"/>
          <w:lang w:eastAsia="ja-JP"/>
        </w:rPr>
      </w:pPr>
    </w:p>
    <w:p w:rsidR="00491E95" w:rsidRPr="00491E95" w:rsidRDefault="00491E95" w:rsidP="00491E95">
      <w:pPr>
        <w:widowControl/>
        <w:jc w:val="left"/>
        <w:rPr>
          <w:rFonts w:ascii="Calibri" w:eastAsia="MS Minngs" w:hAnsi="Calibri"/>
          <w:bCs/>
          <w:kern w:val="0"/>
          <w:sz w:val="20"/>
          <w:szCs w:val="20"/>
          <w:lang w:eastAsia="ja-JP"/>
        </w:rPr>
      </w:pPr>
      <w:proofErr w:type="gramStart"/>
      <w:r w:rsidRPr="00491E95">
        <w:rPr>
          <w:rFonts w:ascii="Calibri" w:eastAsia="MS Minngs" w:hAnsi="Calibri"/>
          <w:b/>
          <w:bCs/>
          <w:kern w:val="0"/>
          <w:sz w:val="20"/>
          <w:szCs w:val="20"/>
          <w:lang w:eastAsia="ja-JP"/>
        </w:rPr>
        <w:t xml:space="preserve">Supplementary Figure </w:t>
      </w:r>
      <w:r w:rsidR="00CB56FC" w:rsidRPr="00491E95">
        <w:rPr>
          <w:rFonts w:ascii="Calibri" w:eastAsia="MS Minngs" w:hAnsi="Calibri"/>
          <w:b/>
          <w:bCs/>
          <w:kern w:val="0"/>
          <w:sz w:val="20"/>
          <w:szCs w:val="20"/>
          <w:lang w:eastAsia="ja-JP"/>
        </w:rPr>
        <w:fldChar w:fldCharType="begin"/>
      </w:r>
      <w:r w:rsidRPr="00491E95">
        <w:rPr>
          <w:rFonts w:ascii="Calibri" w:eastAsia="MS Minngs" w:hAnsi="Calibri"/>
          <w:b/>
          <w:bCs/>
          <w:kern w:val="0"/>
          <w:sz w:val="20"/>
          <w:szCs w:val="20"/>
          <w:lang w:eastAsia="ja-JP"/>
        </w:rPr>
        <w:instrText xml:space="preserve"> SEQ Supplementary_Figure \* ARABIC </w:instrText>
      </w:r>
      <w:r w:rsidR="00CB56FC" w:rsidRPr="00491E95">
        <w:rPr>
          <w:rFonts w:ascii="Calibri" w:eastAsia="MS Minngs" w:hAnsi="Calibri"/>
          <w:b/>
          <w:bCs/>
          <w:kern w:val="0"/>
          <w:sz w:val="20"/>
          <w:szCs w:val="20"/>
          <w:lang w:eastAsia="ja-JP"/>
        </w:rPr>
        <w:fldChar w:fldCharType="separate"/>
      </w:r>
      <w:r w:rsidRPr="00491E95">
        <w:rPr>
          <w:rFonts w:ascii="Calibri" w:eastAsia="MS Minngs" w:hAnsi="Calibri"/>
          <w:b/>
          <w:bCs/>
          <w:noProof/>
          <w:kern w:val="0"/>
          <w:sz w:val="20"/>
          <w:szCs w:val="20"/>
          <w:lang w:eastAsia="ja-JP"/>
        </w:rPr>
        <w:t>2</w:t>
      </w:r>
      <w:r w:rsidR="00CB56FC" w:rsidRPr="00491E95">
        <w:rPr>
          <w:rFonts w:ascii="Calibri" w:eastAsia="MS Minngs" w:hAnsi="Calibri"/>
          <w:b/>
          <w:bCs/>
          <w:kern w:val="0"/>
          <w:sz w:val="20"/>
          <w:szCs w:val="20"/>
          <w:lang w:eastAsia="ja-JP"/>
        </w:rPr>
        <w:fldChar w:fldCharType="end"/>
      </w:r>
      <w:r w:rsidRPr="00491E95">
        <w:rPr>
          <w:rFonts w:ascii="Calibri" w:eastAsia="MS Minngs" w:hAnsi="Calibri"/>
          <w:b/>
          <w:bCs/>
          <w:kern w:val="0"/>
          <w:sz w:val="20"/>
          <w:szCs w:val="20"/>
          <w:lang w:eastAsia="ja-JP"/>
        </w:rPr>
        <w:t>.</w:t>
      </w:r>
      <w:proofErr w:type="gramEnd"/>
      <w:r w:rsidRPr="00491E95">
        <w:rPr>
          <w:rFonts w:ascii="Calibri" w:eastAsia="MS Minngs" w:hAnsi="Calibri"/>
          <w:bCs/>
          <w:kern w:val="0"/>
          <w:sz w:val="20"/>
          <w:szCs w:val="20"/>
          <w:lang w:eastAsia="ja-JP"/>
        </w:rPr>
        <w:t xml:space="preserve"> </w:t>
      </w:r>
      <w:proofErr w:type="gramStart"/>
      <w:r w:rsidRPr="00491E95">
        <w:rPr>
          <w:rFonts w:ascii="Calibri" w:eastAsia="MS Minngs" w:hAnsi="Calibri"/>
          <w:bCs/>
          <w:kern w:val="0"/>
          <w:sz w:val="20"/>
          <w:szCs w:val="20"/>
          <w:lang w:eastAsia="ja-JP"/>
        </w:rPr>
        <w:t>Blood cell-type percentage by gestational age for four blood cell types.</w:t>
      </w:r>
      <w:proofErr w:type="gramEnd"/>
      <w:r w:rsidRPr="00491E95">
        <w:rPr>
          <w:rFonts w:ascii="Calibri" w:eastAsia="MS Minngs" w:hAnsi="Calibri"/>
          <w:bCs/>
          <w:kern w:val="0"/>
          <w:sz w:val="20"/>
          <w:szCs w:val="20"/>
          <w:lang w:eastAsia="ja-JP"/>
        </w:rPr>
        <w:t xml:space="preserve"> Each point corresponds to one of 341 neonate cord blood </w:t>
      </w:r>
      <w:proofErr w:type="spellStart"/>
      <w:r w:rsidRPr="00491E95">
        <w:rPr>
          <w:rFonts w:ascii="Calibri" w:eastAsia="MS Minngs" w:hAnsi="Calibri"/>
          <w:bCs/>
          <w:kern w:val="0"/>
          <w:sz w:val="20"/>
          <w:szCs w:val="20"/>
          <w:lang w:eastAsia="ja-JP"/>
        </w:rPr>
        <w:t>DNAm</w:t>
      </w:r>
      <w:proofErr w:type="spellEnd"/>
      <w:r w:rsidRPr="00491E95">
        <w:rPr>
          <w:rFonts w:ascii="Calibri" w:eastAsia="MS Minngs" w:hAnsi="Calibri"/>
          <w:bCs/>
          <w:kern w:val="0"/>
          <w:sz w:val="20"/>
          <w:szCs w:val="20"/>
          <w:lang w:eastAsia="ja-JP"/>
        </w:rPr>
        <w:t xml:space="preserve"> samples. Percentage of each cell type for each of the 341 samples was estimated from </w:t>
      </w:r>
      <w:proofErr w:type="spellStart"/>
      <w:r w:rsidRPr="00491E95">
        <w:rPr>
          <w:rFonts w:ascii="Calibri" w:eastAsia="MS Minngs" w:hAnsi="Calibri"/>
          <w:bCs/>
          <w:kern w:val="0"/>
          <w:sz w:val="20"/>
          <w:szCs w:val="20"/>
          <w:lang w:eastAsia="ja-JP"/>
        </w:rPr>
        <w:t>DNAm</w:t>
      </w:r>
      <w:proofErr w:type="spellEnd"/>
      <w:r w:rsidRPr="00491E95">
        <w:rPr>
          <w:rFonts w:ascii="Calibri" w:eastAsia="MS Minngs" w:hAnsi="Calibri"/>
          <w:bCs/>
          <w:kern w:val="0"/>
          <w:sz w:val="20"/>
          <w:szCs w:val="20"/>
          <w:lang w:eastAsia="ja-JP"/>
        </w:rPr>
        <w:t xml:space="preserve"> using Houseman’s </w:t>
      </w:r>
      <w:proofErr w:type="spellStart"/>
      <w:r w:rsidRPr="00491E95">
        <w:rPr>
          <w:rFonts w:ascii="Calibri" w:eastAsia="MS Minngs" w:hAnsi="Calibri"/>
          <w:bCs/>
          <w:kern w:val="0"/>
          <w:sz w:val="20"/>
          <w:szCs w:val="20"/>
          <w:lang w:eastAsia="ja-JP"/>
        </w:rPr>
        <w:t>deconvolution</w:t>
      </w:r>
      <w:proofErr w:type="spellEnd"/>
      <w:r w:rsidRPr="00491E95">
        <w:rPr>
          <w:rFonts w:ascii="Calibri" w:eastAsia="MS Minngs" w:hAnsi="Calibri"/>
          <w:bCs/>
          <w:kern w:val="0"/>
          <w:sz w:val="20"/>
          <w:szCs w:val="20"/>
          <w:lang w:eastAsia="ja-JP"/>
        </w:rPr>
        <w:t xml:space="preserve"> method. Each panel shows estimated percentage for each cell type against each sample’s gestational age. Panels correspond to estimates for a) B cells, b) CD8 T cells, c) monocytes, and d) NK cells.</w:t>
      </w:r>
    </w:p>
    <w:p w:rsidR="00491E95" w:rsidRPr="00491E95" w:rsidRDefault="00491E95" w:rsidP="00491E95">
      <w:pPr>
        <w:widowControl/>
        <w:jc w:val="left"/>
        <w:rPr>
          <w:rFonts w:ascii="Calibri" w:eastAsia="MS Minngs" w:hAnsi="Calibri"/>
          <w:kern w:val="0"/>
          <w:sz w:val="20"/>
          <w:szCs w:val="20"/>
          <w:lang w:eastAsia="ja-JP"/>
        </w:rPr>
      </w:pPr>
    </w:p>
    <w:p w:rsidR="00491E95" w:rsidRPr="00491E95" w:rsidRDefault="00491E95" w:rsidP="00491E95">
      <w:pPr>
        <w:widowControl/>
        <w:jc w:val="left"/>
        <w:rPr>
          <w:rFonts w:eastAsia="MS Minngs"/>
          <w:kern w:val="0"/>
          <w:sz w:val="24"/>
          <w:lang w:eastAsia="ja-JP"/>
        </w:rPr>
      </w:pPr>
    </w:p>
    <w:p w:rsidR="006529B0" w:rsidRDefault="006529B0"/>
    <w:sectPr w:rsidR="006529B0" w:rsidSect="00CB56F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35" w:rsidRDefault="003F0135" w:rsidP="00D75F85">
      <w:r>
        <w:separator/>
      </w:r>
    </w:p>
  </w:endnote>
  <w:endnote w:type="continuationSeparator" w:id="0">
    <w:p w:rsidR="003F0135" w:rsidRDefault="003F0135" w:rsidP="00D75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35" w:rsidRDefault="003F0135" w:rsidP="00D75F85">
      <w:r>
        <w:separator/>
      </w:r>
    </w:p>
  </w:footnote>
  <w:footnote w:type="continuationSeparator" w:id="0">
    <w:p w:rsidR="003F0135" w:rsidRDefault="003F0135" w:rsidP="00D75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85" w:rsidRPr="00D75F85" w:rsidRDefault="00D75F85" w:rsidP="00D75F85">
    <w:pPr>
      <w:pStyle w:val="Header"/>
      <w:jc w:val="left"/>
      <w:rPr>
        <w:rFonts w:asciiTheme="minorHAnsi" w:hAnsiTheme="minorHAnsi" w:cstheme="minorHAnsi"/>
        <w:sz w:val="20"/>
        <w:szCs w:val="20"/>
      </w:rPr>
    </w:pPr>
    <w:r w:rsidRPr="00D75F85">
      <w:rPr>
        <w:rFonts w:asciiTheme="minorHAnsi" w:hAnsiTheme="minorHAnsi" w:cstheme="minorHAnsi"/>
        <w:sz w:val="20"/>
        <w:szCs w:val="20"/>
      </w:rPr>
      <w:t xml:space="preserve">Braid, S. M., </w:t>
    </w:r>
    <w:proofErr w:type="spellStart"/>
    <w:r w:rsidRPr="00D75F85">
      <w:rPr>
        <w:rFonts w:asciiTheme="minorHAnsi" w:hAnsiTheme="minorHAnsi" w:cstheme="minorHAnsi"/>
        <w:sz w:val="20"/>
        <w:szCs w:val="20"/>
      </w:rPr>
      <w:t>Okrah</w:t>
    </w:r>
    <w:proofErr w:type="spellEnd"/>
    <w:r w:rsidRPr="00D75F85">
      <w:rPr>
        <w:rFonts w:asciiTheme="minorHAnsi" w:hAnsiTheme="minorHAnsi" w:cstheme="minorHAnsi"/>
        <w:sz w:val="20"/>
        <w:szCs w:val="20"/>
      </w:rPr>
      <w:t xml:space="preserve">, K., Shetty, A., </w:t>
    </w:r>
    <w:r>
      <w:rPr>
        <w:rFonts w:asciiTheme="minorHAnsi" w:hAnsiTheme="minorHAnsi" w:cstheme="minorHAnsi"/>
        <w:sz w:val="20"/>
        <w:szCs w:val="20"/>
      </w:rPr>
      <w:t xml:space="preserve">&amp; </w:t>
    </w:r>
    <w:bookmarkStart w:id="0" w:name="_GoBack"/>
    <w:bookmarkEnd w:id="0"/>
    <w:r w:rsidRPr="00D75F85">
      <w:rPr>
        <w:rFonts w:asciiTheme="minorHAnsi" w:hAnsiTheme="minorHAnsi" w:cstheme="minorHAnsi"/>
        <w:sz w:val="20"/>
        <w:szCs w:val="20"/>
      </w:rPr>
      <w:t xml:space="preserve">Bravo, H. C. (2017). DNA methylation patterns in cord blood of neonates across gestational ages: Association with cell-type composition. </w:t>
    </w:r>
    <w:r w:rsidRPr="00D75F85">
      <w:rPr>
        <w:rFonts w:asciiTheme="minorHAnsi" w:hAnsiTheme="minorHAnsi" w:cstheme="minorHAnsi"/>
        <w:i/>
        <w:sz w:val="20"/>
        <w:szCs w:val="20"/>
      </w:rPr>
      <w:t>Nursing Research</w:t>
    </w:r>
    <w:r w:rsidRPr="00D75F85">
      <w:rPr>
        <w:rFonts w:asciiTheme="minorHAnsi" w:hAnsiTheme="minorHAnsi" w:cstheme="minorHAnsi"/>
        <w:sz w:val="20"/>
        <w:szCs w:val="20"/>
      </w:rPr>
      <w:t xml:space="preserve">, </w:t>
    </w:r>
    <w:r w:rsidRPr="00D75F85">
      <w:rPr>
        <w:rFonts w:asciiTheme="minorHAnsi" w:hAnsiTheme="minorHAnsi" w:cstheme="minorHAnsi"/>
        <w:i/>
        <w:sz w:val="20"/>
        <w:szCs w:val="20"/>
      </w:rPr>
      <w:t>66</w:t>
    </w:r>
    <w:r w:rsidRPr="00D75F85">
      <w:rPr>
        <w:rFonts w:asciiTheme="minorHAnsi" w:hAnsiTheme="minorHAnsi" w:cstheme="minorHAnsi"/>
        <w:sz w:val="20"/>
        <w:szCs w:val="20"/>
      </w:rPr>
      <w:t>. Supplemental Digital Content</w:t>
    </w:r>
    <w:r w:rsidR="00FE49CA">
      <w:rPr>
        <w:rFonts w:asciiTheme="minorHAnsi" w:hAnsiTheme="minorHAnsi" w:cstheme="minorHAnsi"/>
        <w:sz w:val="20"/>
        <w:szCs w:val="20"/>
      </w:rPr>
      <w:t xml:space="preserve"> 2 of 2</w:t>
    </w:r>
    <w:r w:rsidRPr="00D75F85">
      <w:rPr>
        <w:rFonts w:asciiTheme="minorHAnsi" w:hAnsiTheme="minorHAnsi" w:cstheme="minorHAnsi"/>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529B0"/>
    <w:rsid w:val="000265FC"/>
    <w:rsid w:val="003F0135"/>
    <w:rsid w:val="00491E95"/>
    <w:rsid w:val="006529B0"/>
    <w:rsid w:val="006D6EF6"/>
    <w:rsid w:val="00AA0C12"/>
    <w:rsid w:val="00CB56FC"/>
    <w:rsid w:val="00D75F85"/>
    <w:rsid w:val="00FE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FC"/>
    <w:pPr>
      <w:widowControl w:val="0"/>
      <w:jc w:val="both"/>
    </w:pPr>
    <w:rPr>
      <w:kern w:val="2"/>
      <w:sz w:val="21"/>
      <w:szCs w:val="24"/>
    </w:rPr>
  </w:style>
  <w:style w:type="paragraph" w:styleId="Heading1">
    <w:name w:val="heading 1"/>
    <w:basedOn w:val="Normal"/>
    <w:link w:val="Heading1Char"/>
    <w:uiPriority w:val="9"/>
    <w:qFormat/>
    <w:rsid w:val="000265FC"/>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5FC"/>
    <w:rPr>
      <w:rFonts w:ascii="SimSun" w:hAnsi="SimSun" w:cs="SimSun"/>
      <w:b/>
      <w:bCs/>
      <w:kern w:val="36"/>
      <w:sz w:val="48"/>
      <w:szCs w:val="48"/>
    </w:rPr>
  </w:style>
  <w:style w:type="paragraph" w:styleId="NoSpacing">
    <w:name w:val="No Spacing"/>
    <w:link w:val="NoSpacingChar"/>
    <w:uiPriority w:val="1"/>
    <w:qFormat/>
    <w:rsid w:val="000265FC"/>
    <w:rPr>
      <w:rFonts w:ascii="Calibri" w:hAnsi="Calibri"/>
      <w:sz w:val="22"/>
      <w:szCs w:val="22"/>
      <w:lang w:eastAsia="zh-CN"/>
    </w:rPr>
  </w:style>
  <w:style w:type="character" w:customStyle="1" w:styleId="NoSpacingChar">
    <w:name w:val="No Spacing Char"/>
    <w:basedOn w:val="DefaultParagraphFont"/>
    <w:link w:val="NoSpacing"/>
    <w:uiPriority w:val="1"/>
    <w:rsid w:val="000265FC"/>
    <w:rPr>
      <w:rFonts w:ascii="Calibri" w:hAnsi="Calibri"/>
      <w:sz w:val="22"/>
      <w:szCs w:val="22"/>
      <w:lang w:eastAsia="zh-CN"/>
    </w:rPr>
  </w:style>
  <w:style w:type="paragraph" w:styleId="BalloonText">
    <w:name w:val="Balloon Text"/>
    <w:basedOn w:val="Normal"/>
    <w:link w:val="BalloonTextChar"/>
    <w:uiPriority w:val="99"/>
    <w:semiHidden/>
    <w:unhideWhenUsed/>
    <w:rsid w:val="006529B0"/>
    <w:rPr>
      <w:rFonts w:ascii="Tahoma" w:hAnsi="Tahoma" w:cs="Tahoma"/>
      <w:sz w:val="16"/>
      <w:szCs w:val="16"/>
    </w:rPr>
  </w:style>
  <w:style w:type="character" w:customStyle="1" w:styleId="BalloonTextChar">
    <w:name w:val="Balloon Text Char"/>
    <w:basedOn w:val="DefaultParagraphFont"/>
    <w:link w:val="BalloonText"/>
    <w:uiPriority w:val="99"/>
    <w:semiHidden/>
    <w:rsid w:val="006529B0"/>
    <w:rPr>
      <w:rFonts w:ascii="Tahoma" w:hAnsi="Tahoma" w:cs="Tahoma"/>
      <w:kern w:val="2"/>
      <w:sz w:val="16"/>
      <w:szCs w:val="16"/>
    </w:rPr>
  </w:style>
  <w:style w:type="paragraph" w:styleId="Header">
    <w:name w:val="header"/>
    <w:basedOn w:val="Normal"/>
    <w:link w:val="HeaderChar"/>
    <w:uiPriority w:val="99"/>
    <w:unhideWhenUsed/>
    <w:rsid w:val="00D75F85"/>
    <w:pPr>
      <w:tabs>
        <w:tab w:val="center" w:pos="4680"/>
        <w:tab w:val="right" w:pos="9360"/>
      </w:tabs>
    </w:pPr>
  </w:style>
  <w:style w:type="character" w:customStyle="1" w:styleId="HeaderChar">
    <w:name w:val="Header Char"/>
    <w:basedOn w:val="DefaultParagraphFont"/>
    <w:link w:val="Header"/>
    <w:uiPriority w:val="99"/>
    <w:rsid w:val="00D75F85"/>
    <w:rPr>
      <w:kern w:val="2"/>
      <w:sz w:val="21"/>
      <w:szCs w:val="24"/>
    </w:rPr>
  </w:style>
  <w:style w:type="paragraph" w:styleId="Footer">
    <w:name w:val="footer"/>
    <w:basedOn w:val="Normal"/>
    <w:link w:val="FooterChar"/>
    <w:uiPriority w:val="99"/>
    <w:unhideWhenUsed/>
    <w:rsid w:val="00D75F85"/>
    <w:pPr>
      <w:tabs>
        <w:tab w:val="center" w:pos="4680"/>
        <w:tab w:val="right" w:pos="9360"/>
      </w:tabs>
    </w:pPr>
  </w:style>
  <w:style w:type="character" w:customStyle="1" w:styleId="FooterChar">
    <w:name w:val="Footer Char"/>
    <w:basedOn w:val="DefaultParagraphFont"/>
    <w:link w:val="Footer"/>
    <w:uiPriority w:val="99"/>
    <w:rsid w:val="00D75F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FC"/>
    <w:pPr>
      <w:widowControl w:val="0"/>
      <w:jc w:val="both"/>
    </w:pPr>
    <w:rPr>
      <w:kern w:val="2"/>
      <w:sz w:val="21"/>
      <w:szCs w:val="24"/>
    </w:rPr>
  </w:style>
  <w:style w:type="paragraph" w:styleId="Heading1">
    <w:name w:val="heading 1"/>
    <w:basedOn w:val="Normal"/>
    <w:link w:val="Heading1Char"/>
    <w:uiPriority w:val="9"/>
    <w:qFormat/>
    <w:rsid w:val="000265FC"/>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5FC"/>
    <w:rPr>
      <w:rFonts w:ascii="SimSun" w:hAnsi="SimSun" w:cs="SimSun"/>
      <w:b/>
      <w:bCs/>
      <w:kern w:val="36"/>
      <w:sz w:val="48"/>
      <w:szCs w:val="48"/>
    </w:rPr>
  </w:style>
  <w:style w:type="paragraph" w:styleId="NoSpacing">
    <w:name w:val="No Spacing"/>
    <w:link w:val="NoSpacingChar"/>
    <w:uiPriority w:val="1"/>
    <w:qFormat/>
    <w:rsid w:val="000265FC"/>
    <w:rPr>
      <w:rFonts w:ascii="Calibri" w:hAnsi="Calibri"/>
      <w:sz w:val="22"/>
      <w:szCs w:val="22"/>
      <w:lang w:eastAsia="zh-CN"/>
    </w:rPr>
  </w:style>
  <w:style w:type="character" w:customStyle="1" w:styleId="NoSpacingChar">
    <w:name w:val="No Spacing Char"/>
    <w:basedOn w:val="DefaultParagraphFont"/>
    <w:link w:val="NoSpacing"/>
    <w:uiPriority w:val="1"/>
    <w:rsid w:val="000265FC"/>
    <w:rPr>
      <w:rFonts w:ascii="Calibri" w:hAnsi="Calibri"/>
      <w:sz w:val="22"/>
      <w:szCs w:val="22"/>
      <w:lang w:eastAsia="zh-CN"/>
    </w:rPr>
  </w:style>
  <w:style w:type="paragraph" w:styleId="BalloonText">
    <w:name w:val="Balloon Text"/>
    <w:basedOn w:val="Normal"/>
    <w:link w:val="BalloonTextChar"/>
    <w:uiPriority w:val="99"/>
    <w:semiHidden/>
    <w:unhideWhenUsed/>
    <w:rsid w:val="006529B0"/>
    <w:rPr>
      <w:rFonts w:ascii="Tahoma" w:hAnsi="Tahoma" w:cs="Tahoma"/>
      <w:sz w:val="16"/>
      <w:szCs w:val="16"/>
    </w:rPr>
  </w:style>
  <w:style w:type="character" w:customStyle="1" w:styleId="BalloonTextChar">
    <w:name w:val="Balloon Text Char"/>
    <w:basedOn w:val="DefaultParagraphFont"/>
    <w:link w:val="BalloonText"/>
    <w:uiPriority w:val="99"/>
    <w:semiHidden/>
    <w:rsid w:val="006529B0"/>
    <w:rPr>
      <w:rFonts w:ascii="Tahoma" w:hAnsi="Tahoma" w:cs="Tahoma"/>
      <w:kern w:val="2"/>
      <w:sz w:val="16"/>
      <w:szCs w:val="16"/>
    </w:rPr>
  </w:style>
  <w:style w:type="paragraph" w:styleId="Header">
    <w:name w:val="header"/>
    <w:basedOn w:val="Normal"/>
    <w:link w:val="HeaderChar"/>
    <w:uiPriority w:val="99"/>
    <w:unhideWhenUsed/>
    <w:rsid w:val="00D75F85"/>
    <w:pPr>
      <w:tabs>
        <w:tab w:val="center" w:pos="4680"/>
        <w:tab w:val="right" w:pos="9360"/>
      </w:tabs>
    </w:pPr>
  </w:style>
  <w:style w:type="character" w:customStyle="1" w:styleId="HeaderChar">
    <w:name w:val="Header Char"/>
    <w:basedOn w:val="DefaultParagraphFont"/>
    <w:link w:val="Header"/>
    <w:uiPriority w:val="99"/>
    <w:rsid w:val="00D75F85"/>
    <w:rPr>
      <w:kern w:val="2"/>
      <w:sz w:val="21"/>
      <w:szCs w:val="24"/>
    </w:rPr>
  </w:style>
  <w:style w:type="paragraph" w:styleId="Footer">
    <w:name w:val="footer"/>
    <w:basedOn w:val="Normal"/>
    <w:link w:val="FooterChar"/>
    <w:uiPriority w:val="99"/>
    <w:unhideWhenUsed/>
    <w:rsid w:val="00D75F85"/>
    <w:pPr>
      <w:tabs>
        <w:tab w:val="center" w:pos="4680"/>
        <w:tab w:val="right" w:pos="9360"/>
      </w:tabs>
    </w:pPr>
  </w:style>
  <w:style w:type="character" w:customStyle="1" w:styleId="FooterChar">
    <w:name w:val="Footer Char"/>
    <w:basedOn w:val="DefaultParagraphFont"/>
    <w:link w:val="Footer"/>
    <w:uiPriority w:val="99"/>
    <w:rsid w:val="00D75F8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Sherry</cp:lastModifiedBy>
  <cp:revision>2</cp:revision>
  <dcterms:created xsi:type="dcterms:W3CDTF">2016-11-01T17:58:00Z</dcterms:created>
  <dcterms:modified xsi:type="dcterms:W3CDTF">2016-11-01T17:58:00Z</dcterms:modified>
</cp:coreProperties>
</file>