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297C" w14:textId="77777777" w:rsidR="0096285B" w:rsidRDefault="00CF3EEC">
      <w:pPr>
        <w:rPr>
          <w:rFonts w:ascii="Arial" w:hAnsi="Arial" w:cs="Arial"/>
          <w:b/>
          <w:color w:val="000000"/>
        </w:rPr>
      </w:pPr>
      <w:r w:rsidRPr="00AB6728">
        <w:rPr>
          <w:rFonts w:ascii="Arial" w:hAnsi="Arial" w:cs="Arial"/>
          <w:b/>
          <w:color w:val="000000"/>
        </w:rPr>
        <w:t>Supplemental methods</w:t>
      </w:r>
      <w:bookmarkStart w:id="0" w:name="_GoBack"/>
      <w:bookmarkEnd w:id="0"/>
    </w:p>
    <w:p w14:paraId="3F362877" w14:textId="77777777" w:rsidR="00CF3EEC" w:rsidRDefault="00CF3EEC">
      <w:pPr>
        <w:rPr>
          <w:rFonts w:ascii="Arial" w:hAnsi="Arial" w:cs="Arial"/>
          <w:b/>
          <w:color w:val="000000"/>
        </w:rPr>
      </w:pPr>
    </w:p>
    <w:p w14:paraId="1BBB3815" w14:textId="77777777" w:rsidR="00CF3EEC" w:rsidRDefault="00CF3EEC">
      <w:pPr>
        <w:rPr>
          <w:rFonts w:ascii="Arial" w:hAnsi="Arial" w:cs="Arial"/>
          <w:b/>
          <w:color w:val="000000"/>
        </w:rPr>
      </w:pPr>
      <w:r w:rsidRPr="00B2516D">
        <w:rPr>
          <w:rFonts w:ascii="Arial" w:hAnsi="Arial" w:cs="Arial"/>
          <w:b/>
          <w:color w:val="000000"/>
        </w:rPr>
        <w:t>Whole exome sequencing and evaluation related to other genetic disorders presenting with ataxia</w:t>
      </w:r>
      <w:r>
        <w:rPr>
          <w:rFonts w:ascii="Arial" w:hAnsi="Arial" w:cs="Arial"/>
          <w:b/>
          <w:color w:val="000000"/>
        </w:rPr>
        <w:t>.</w:t>
      </w:r>
    </w:p>
    <w:p w14:paraId="78634D80" w14:textId="77777777" w:rsidR="00CF3EEC" w:rsidRDefault="00CF3EEC">
      <w:pPr>
        <w:rPr>
          <w:rFonts w:ascii="Arial" w:hAnsi="Arial" w:cs="Arial"/>
          <w:b/>
          <w:color w:val="000000"/>
        </w:rPr>
      </w:pPr>
    </w:p>
    <w:p w14:paraId="4DB8E5D9" w14:textId="2F8C526B" w:rsidR="00CF3EEC" w:rsidRPr="003C30C9" w:rsidRDefault="00661C37" w:rsidP="003C30C9">
      <w:pPr>
        <w:ind w:firstLine="96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A </w:t>
      </w:r>
      <w:r w:rsidR="00CF3EEC" w:rsidRPr="00DA5DD2">
        <w:rPr>
          <w:rFonts w:ascii="Arial" w:hAnsi="Arial" w:cs="Arial"/>
          <w:color w:val="000000"/>
        </w:rPr>
        <w:t>DNA sample from the patient was analyzed by whole exome sequencing. Genom</w:t>
      </w:r>
      <w:r>
        <w:rPr>
          <w:rFonts w:ascii="Arial" w:hAnsi="Arial" w:cs="Arial"/>
          <w:color w:val="000000"/>
        </w:rPr>
        <w:t>ic DNA was captured by using</w:t>
      </w:r>
      <w:r w:rsidR="00CF3EEC" w:rsidRPr="00DA5DD2">
        <w:rPr>
          <w:rFonts w:ascii="Arial" w:hAnsi="Arial" w:cs="Arial"/>
          <w:color w:val="000000"/>
        </w:rPr>
        <w:t xml:space="preserve"> </w:t>
      </w:r>
      <w:proofErr w:type="spellStart"/>
      <w:r w:rsidR="003C30C9" w:rsidRPr="003C30C9">
        <w:rPr>
          <w:rFonts w:ascii="Arial" w:hAnsi="Arial" w:cs="Arial"/>
          <w:color w:val="000000"/>
        </w:rPr>
        <w:t>SureSelect</w:t>
      </w:r>
      <w:proofErr w:type="spellEnd"/>
      <w:r w:rsidR="003C30C9" w:rsidRPr="003C30C9">
        <w:rPr>
          <w:rFonts w:ascii="Arial" w:hAnsi="Arial" w:cs="Arial"/>
          <w:color w:val="000000"/>
        </w:rPr>
        <w:t xml:space="preserve"> XT Human All Exon V6</w:t>
      </w:r>
      <w:r w:rsidR="003C30C9">
        <w:rPr>
          <w:rFonts w:ascii="Arial" w:hAnsi="Arial" w:cs="Arial"/>
          <w:color w:val="000000"/>
        </w:rPr>
        <w:t xml:space="preserve"> </w:t>
      </w:r>
      <w:r w:rsidR="00CF3EEC" w:rsidRPr="00DA5DD2">
        <w:rPr>
          <w:rFonts w:ascii="Arial" w:hAnsi="Arial" w:cs="Arial"/>
          <w:color w:val="000000"/>
        </w:rPr>
        <w:t>(Agilent Technologies, Santa Clara, CA). Captured DNA was sequenced on</w:t>
      </w:r>
      <w:r w:rsidR="00CF3EEC" w:rsidRPr="008B5B2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 xml:space="preserve">a </w:t>
      </w:r>
      <w:proofErr w:type="spellStart"/>
      <w:r w:rsidR="003C30C9" w:rsidRPr="003C30C9">
        <w:rPr>
          <w:rFonts w:ascii="Arial" w:hAnsi="Arial" w:cs="Arial"/>
          <w:color w:val="000000" w:themeColor="text1"/>
        </w:rPr>
        <w:t>HiSeq</w:t>
      </w:r>
      <w:proofErr w:type="spellEnd"/>
      <w:r w:rsidR="003C30C9" w:rsidRPr="003C30C9">
        <w:rPr>
          <w:rFonts w:ascii="Arial" w:hAnsi="Arial" w:cs="Arial"/>
          <w:color w:val="000000" w:themeColor="text1"/>
        </w:rPr>
        <w:t xml:space="preserve"> 4000</w:t>
      </w:r>
      <w:r w:rsidR="003C30C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(Illumina, San Diego, CA)</w:t>
      </w:r>
      <w:r w:rsidR="00CF3EEC" w:rsidRPr="00DA5DD2">
        <w:rPr>
          <w:rFonts w:ascii="Arial" w:hAnsi="Arial" w:cs="Arial"/>
          <w:color w:val="000000"/>
        </w:rPr>
        <w:t xml:space="preserve">. The mean read depth against </w:t>
      </w:r>
      <w:r w:rsidR="00691166" w:rsidRPr="00276E52">
        <w:rPr>
          <w:rFonts w:ascii="Arial" w:hAnsi="Arial" w:cs="Arial"/>
        </w:rPr>
        <w:t>target regions</w:t>
      </w:r>
      <w:r w:rsidR="00691166" w:rsidRPr="0006137F">
        <w:rPr>
          <w:rFonts w:ascii="Arial" w:hAnsi="Arial" w:cs="Arial"/>
          <w:color w:val="FF0000"/>
        </w:rPr>
        <w:t xml:space="preserve"> </w:t>
      </w:r>
      <w:r w:rsidR="00CF3EEC" w:rsidRPr="00DA5DD2">
        <w:rPr>
          <w:rFonts w:ascii="Arial" w:hAnsi="Arial" w:cs="Arial"/>
          <w:color w:val="000000"/>
        </w:rPr>
        <w:t xml:space="preserve">was 85.0 reads with 96.0% of </w:t>
      </w:r>
      <w:r w:rsidR="00691166" w:rsidRPr="00276E52">
        <w:rPr>
          <w:rFonts w:ascii="Arial" w:hAnsi="Arial" w:cs="Arial"/>
        </w:rPr>
        <w:t>target regions</w:t>
      </w:r>
      <w:r w:rsidR="00691166" w:rsidRPr="0006137F">
        <w:rPr>
          <w:rFonts w:ascii="Arial" w:hAnsi="Arial" w:cs="Arial"/>
          <w:color w:val="FF0000"/>
        </w:rPr>
        <w:t xml:space="preserve"> </w:t>
      </w:r>
      <w:r w:rsidR="00CF3EEC" w:rsidRPr="00DA5DD2">
        <w:rPr>
          <w:rFonts w:ascii="Arial" w:hAnsi="Arial" w:cs="Arial"/>
          <w:color w:val="000000"/>
        </w:rPr>
        <w:t>being covered by 20 or more reads. The quality controlled reads were mapped to the human reference genome (UCSC hg19) by using BWA (Burrows-Wheeler Alignment Tool). After t</w:t>
      </w:r>
      <w:r>
        <w:rPr>
          <w:rFonts w:ascii="Arial" w:hAnsi="Arial" w:cs="Arial"/>
          <w:color w:val="000000"/>
        </w:rPr>
        <w:t>he removal of PCR duplicatio</w:t>
      </w:r>
      <w:r>
        <w:rPr>
          <w:rFonts w:ascii="Arial" w:hAnsi="Arial" w:cs="Arial" w:hint="eastAsia"/>
          <w:color w:val="000000"/>
        </w:rPr>
        <w:t>ns</w:t>
      </w:r>
      <w:r w:rsidR="00CF3EEC" w:rsidRPr="00DA5DD2">
        <w:rPr>
          <w:rFonts w:ascii="Arial" w:hAnsi="Arial" w:cs="Arial"/>
          <w:color w:val="000000"/>
        </w:rPr>
        <w:t xml:space="preserve"> using Picard (v1.13), single nucleotide variants (SNVs) and s</w:t>
      </w:r>
      <w:r>
        <w:rPr>
          <w:rFonts w:ascii="Arial" w:hAnsi="Arial" w:cs="Arial"/>
          <w:color w:val="000000"/>
        </w:rPr>
        <w:t>hort insertions and deletions (</w:t>
      </w:r>
      <w:proofErr w:type="spellStart"/>
      <w:r>
        <w:rPr>
          <w:rFonts w:ascii="Arial" w:hAnsi="Arial" w:cs="Arial" w:hint="eastAsia"/>
          <w:color w:val="000000"/>
        </w:rPr>
        <w:t>i</w:t>
      </w:r>
      <w:r w:rsidR="00CF3EEC" w:rsidRPr="00DA5DD2">
        <w:rPr>
          <w:rFonts w:ascii="Arial" w:hAnsi="Arial" w:cs="Arial"/>
          <w:color w:val="000000"/>
        </w:rPr>
        <w:t>ndels</w:t>
      </w:r>
      <w:proofErr w:type="spellEnd"/>
      <w:r w:rsidR="00CF3EEC" w:rsidRPr="00DA5DD2">
        <w:rPr>
          <w:rFonts w:ascii="Arial" w:hAnsi="Arial" w:cs="Arial"/>
          <w:color w:val="000000"/>
        </w:rPr>
        <w:t xml:space="preserve">) were identified by using </w:t>
      </w:r>
      <w:r>
        <w:rPr>
          <w:rFonts w:ascii="Arial" w:hAnsi="Arial" w:cs="Arial" w:hint="eastAsia"/>
          <w:color w:val="000000"/>
        </w:rPr>
        <w:t xml:space="preserve">the </w:t>
      </w:r>
      <w:r w:rsidR="00CF3EEC" w:rsidRPr="00DA5DD2">
        <w:rPr>
          <w:rFonts w:ascii="Arial" w:hAnsi="Arial" w:cs="Arial"/>
          <w:color w:val="000000"/>
        </w:rPr>
        <w:t xml:space="preserve">Genome Analysis Toolkit (GATK; v3.4-0) and annotated by using </w:t>
      </w:r>
      <w:proofErr w:type="spellStart"/>
      <w:r w:rsidR="00CF3EEC" w:rsidRPr="00DA5DD2">
        <w:rPr>
          <w:rFonts w:ascii="Arial" w:hAnsi="Arial" w:cs="Arial"/>
          <w:color w:val="000000"/>
        </w:rPr>
        <w:t>SnpEff</w:t>
      </w:r>
      <w:proofErr w:type="spellEnd"/>
      <w:r>
        <w:rPr>
          <w:rFonts w:ascii="Arial" w:hAnsi="Arial" w:cs="Arial" w:hint="eastAsia"/>
          <w:color w:val="000000"/>
        </w:rPr>
        <w:t xml:space="preserve"> </w:t>
      </w:r>
      <w:r w:rsidR="00CF3EEC" w:rsidRPr="00DA5DD2">
        <w:rPr>
          <w:rFonts w:ascii="Arial" w:hAnsi="Arial" w:cs="Arial"/>
          <w:color w:val="000000"/>
        </w:rPr>
        <w:t>(v4.1g).</w:t>
      </w:r>
    </w:p>
    <w:p w14:paraId="60E86803" w14:textId="438B0000" w:rsidR="00801337" w:rsidRDefault="00CF3EEC" w:rsidP="00F42584">
      <w:pPr>
        <w:ind w:firstLine="960"/>
        <w:rPr>
          <w:rFonts w:ascii="Arial" w:hAnsi="Arial" w:cs="Arial"/>
          <w:color w:val="000000"/>
        </w:rPr>
      </w:pPr>
      <w:r w:rsidRPr="00DA5DD2">
        <w:rPr>
          <w:rFonts w:ascii="Arial" w:hAnsi="Arial" w:cs="Arial"/>
          <w:color w:val="000000"/>
        </w:rPr>
        <w:t xml:space="preserve">As a result, </w:t>
      </w:r>
      <w:r w:rsidR="00661C37">
        <w:rPr>
          <w:rFonts w:ascii="Arial" w:hAnsi="Arial" w:cs="Arial" w:hint="eastAsia"/>
          <w:color w:val="000000"/>
        </w:rPr>
        <w:t xml:space="preserve">the </w:t>
      </w:r>
      <w:r w:rsidRPr="00DA5DD2">
        <w:rPr>
          <w:rFonts w:ascii="Arial" w:hAnsi="Arial" w:cs="Arial"/>
          <w:color w:val="000000"/>
        </w:rPr>
        <w:t xml:space="preserve">number of missense variants and </w:t>
      </w:r>
      <w:proofErr w:type="spellStart"/>
      <w:r w:rsidRPr="00DA5DD2">
        <w:rPr>
          <w:rFonts w:ascii="Arial" w:hAnsi="Arial" w:cs="Arial"/>
          <w:color w:val="000000"/>
        </w:rPr>
        <w:t>indels</w:t>
      </w:r>
      <w:proofErr w:type="spellEnd"/>
      <w:r w:rsidRPr="00DA5DD2">
        <w:rPr>
          <w:rFonts w:ascii="Arial" w:hAnsi="Arial" w:cs="Arial"/>
          <w:color w:val="000000"/>
        </w:rPr>
        <w:t xml:space="preserve"> were 11,402 and 12,533, respectively. Among them, we </w:t>
      </w:r>
      <w:r w:rsidR="00661C37">
        <w:rPr>
          <w:rFonts w:ascii="Arial" w:hAnsi="Arial" w:cs="Arial"/>
          <w:color w:val="000000"/>
        </w:rPr>
        <w:t xml:space="preserve">focused on </w:t>
      </w:r>
      <w:r w:rsidRPr="00DA5DD2">
        <w:rPr>
          <w:rFonts w:ascii="Arial" w:hAnsi="Arial" w:cs="Arial"/>
          <w:color w:val="000000"/>
        </w:rPr>
        <w:t>mutation</w:t>
      </w:r>
      <w:r w:rsidR="00661C37">
        <w:rPr>
          <w:rFonts w:ascii="Arial" w:hAnsi="Arial" w:cs="Arial" w:hint="eastAsia"/>
          <w:color w:val="000000"/>
        </w:rPr>
        <w:t>s</w:t>
      </w:r>
      <w:r w:rsidRPr="00DA5DD2">
        <w:rPr>
          <w:rFonts w:ascii="Arial" w:hAnsi="Arial" w:cs="Arial"/>
          <w:color w:val="000000"/>
        </w:rPr>
        <w:t xml:space="preserve"> in genes causing ataxia </w:t>
      </w:r>
      <w:r w:rsidR="00661C37">
        <w:rPr>
          <w:rFonts w:ascii="Arial" w:hAnsi="Arial" w:cs="Arial" w:hint="eastAsia"/>
          <w:color w:val="000000"/>
        </w:rPr>
        <w:t xml:space="preserve">as </w:t>
      </w:r>
      <w:r w:rsidRPr="00DA5DD2">
        <w:rPr>
          <w:rFonts w:ascii="Arial" w:hAnsi="Arial" w:cs="Arial"/>
          <w:color w:val="000000"/>
        </w:rPr>
        <w:t>previously reported</w:t>
      </w:r>
      <w:r w:rsidR="00A67BF8" w:rsidRPr="00A67BF8">
        <w:rPr>
          <w:rFonts w:ascii="Arial" w:hAnsi="Arial" w:cs="Arial"/>
          <w:color w:val="000000"/>
          <w:vertAlign w:val="superscript"/>
        </w:rPr>
        <w:t>1</w:t>
      </w:r>
      <w:r w:rsidRPr="00DA5DD2">
        <w:rPr>
          <w:rFonts w:ascii="Arial" w:hAnsi="Arial" w:cs="Arial"/>
          <w:color w:val="000000"/>
        </w:rPr>
        <w:t xml:space="preserve"> (Table e-1). </w:t>
      </w:r>
      <w:r w:rsidR="00801337">
        <w:rPr>
          <w:rFonts w:ascii="Arial" w:hAnsi="Arial" w:cs="Arial"/>
          <w:color w:val="000000"/>
        </w:rPr>
        <w:t>We use</w:t>
      </w:r>
      <w:r w:rsidR="00661C37">
        <w:rPr>
          <w:rFonts w:ascii="Arial" w:hAnsi="Arial" w:cs="Arial" w:hint="eastAsia"/>
          <w:color w:val="000000"/>
        </w:rPr>
        <w:t>d</w:t>
      </w:r>
      <w:r w:rsidR="00801337">
        <w:rPr>
          <w:rFonts w:ascii="Arial" w:hAnsi="Arial" w:cs="Arial"/>
          <w:color w:val="000000"/>
        </w:rPr>
        <w:t xml:space="preserve"> </w:t>
      </w:r>
      <w:r w:rsidR="00F23E6A">
        <w:rPr>
          <w:rFonts w:ascii="Arial" w:hAnsi="Arial" w:cs="Arial"/>
          <w:color w:val="000000"/>
        </w:rPr>
        <w:t xml:space="preserve">whole </w:t>
      </w:r>
      <w:r w:rsidR="00801337" w:rsidRPr="004F6C04">
        <w:rPr>
          <w:rFonts w:ascii="Arial" w:hAnsi="Arial" w:cs="Arial"/>
          <w:i/>
          <w:color w:val="000000"/>
        </w:rPr>
        <w:t>exome</w:t>
      </w:r>
      <w:r w:rsidR="00801337">
        <w:rPr>
          <w:rFonts w:ascii="Arial" w:hAnsi="Arial" w:cs="Arial"/>
          <w:color w:val="000000"/>
        </w:rPr>
        <w:t xml:space="preserve"> </w:t>
      </w:r>
      <w:r w:rsidR="00801337" w:rsidRPr="00DA5DD2">
        <w:rPr>
          <w:rFonts w:ascii="Arial" w:hAnsi="Arial" w:cs="Arial"/>
          <w:color w:val="000000"/>
        </w:rPr>
        <w:t>sequencing</w:t>
      </w:r>
      <w:r w:rsidR="00661C37">
        <w:rPr>
          <w:rFonts w:ascii="Arial" w:hAnsi="Arial" w:cs="Arial" w:hint="eastAsia"/>
          <w:color w:val="000000"/>
        </w:rPr>
        <w:t>;</w:t>
      </w:r>
      <w:r w:rsidR="00801337">
        <w:rPr>
          <w:rFonts w:ascii="Arial" w:hAnsi="Arial" w:cs="Arial"/>
          <w:color w:val="000000"/>
        </w:rPr>
        <w:t xml:space="preserve"> therefore, </w:t>
      </w:r>
      <w:r w:rsidR="00801337" w:rsidRPr="00F23E6A">
        <w:rPr>
          <w:rFonts w:ascii="Arial" w:hAnsi="Arial" w:cs="Arial"/>
          <w:i/>
          <w:color w:val="000000"/>
        </w:rPr>
        <w:t>mitochondrial DNA</w:t>
      </w:r>
      <w:r w:rsidR="00801337">
        <w:rPr>
          <w:rFonts w:ascii="Arial" w:hAnsi="Arial" w:cs="Arial"/>
          <w:color w:val="000000"/>
        </w:rPr>
        <w:t xml:space="preserve"> and </w:t>
      </w:r>
      <w:r w:rsidR="00801337" w:rsidRPr="00F23E6A">
        <w:rPr>
          <w:rFonts w:ascii="Arial" w:hAnsi="Arial" w:cs="Arial"/>
          <w:i/>
          <w:color w:val="000000"/>
        </w:rPr>
        <w:t>ATXN8OS</w:t>
      </w:r>
      <w:r w:rsidR="00F23E6A">
        <w:rPr>
          <w:rFonts w:ascii="Arial" w:hAnsi="Arial" w:cs="Arial"/>
          <w:color w:val="000000"/>
        </w:rPr>
        <w:t xml:space="preserve"> were not covered in the analysis. Our case did not have additional features such as </w:t>
      </w:r>
      <w:r w:rsidR="00F23E6A" w:rsidRPr="00F23E6A">
        <w:rPr>
          <w:rFonts w:ascii="Arial" w:hAnsi="Arial" w:cs="Arial"/>
          <w:color w:val="000000"/>
        </w:rPr>
        <w:t>deafness,</w:t>
      </w:r>
      <w:r w:rsidR="00F23E6A">
        <w:rPr>
          <w:rFonts w:ascii="Arial" w:hAnsi="Arial" w:cs="Arial"/>
          <w:color w:val="000000"/>
        </w:rPr>
        <w:t xml:space="preserve"> </w:t>
      </w:r>
      <w:r w:rsidR="00F23E6A" w:rsidRPr="00F23E6A">
        <w:rPr>
          <w:rFonts w:ascii="Arial" w:hAnsi="Arial" w:cs="Arial"/>
          <w:color w:val="000000"/>
        </w:rPr>
        <w:t>diabetes, myoclonus, neuropathy</w:t>
      </w:r>
      <w:r w:rsidR="00661C37">
        <w:rPr>
          <w:rFonts w:ascii="Arial" w:hAnsi="Arial" w:cs="Arial" w:hint="eastAsia"/>
          <w:color w:val="000000"/>
        </w:rPr>
        <w:t>,</w:t>
      </w:r>
      <w:r w:rsidR="00F23E6A">
        <w:rPr>
          <w:rFonts w:ascii="Arial" w:hAnsi="Arial" w:cs="Arial"/>
          <w:color w:val="000000"/>
        </w:rPr>
        <w:t xml:space="preserve"> </w:t>
      </w:r>
      <w:r w:rsidR="00F23E6A" w:rsidRPr="00F23E6A">
        <w:rPr>
          <w:rFonts w:ascii="Arial" w:hAnsi="Arial" w:cs="Arial"/>
          <w:color w:val="000000"/>
        </w:rPr>
        <w:t xml:space="preserve">or spastic </w:t>
      </w:r>
      <w:proofErr w:type="spellStart"/>
      <w:r w:rsidR="00F23E6A" w:rsidRPr="00F23E6A">
        <w:rPr>
          <w:rFonts w:ascii="Arial" w:hAnsi="Arial" w:cs="Arial"/>
          <w:color w:val="000000"/>
        </w:rPr>
        <w:t>paraparesis</w:t>
      </w:r>
      <w:proofErr w:type="spellEnd"/>
      <w:r w:rsidR="00F23E6A">
        <w:rPr>
          <w:rFonts w:ascii="Arial" w:hAnsi="Arial" w:cs="Arial"/>
          <w:color w:val="000000"/>
        </w:rPr>
        <w:t xml:space="preserve">, </w:t>
      </w:r>
      <w:r w:rsidR="00661C37">
        <w:rPr>
          <w:rFonts w:ascii="Arial" w:hAnsi="Arial" w:cs="Arial" w:hint="eastAsia"/>
          <w:color w:val="000000"/>
        </w:rPr>
        <w:t xml:space="preserve">so </w:t>
      </w:r>
      <w:r w:rsidR="00F23E6A">
        <w:rPr>
          <w:rFonts w:ascii="Arial" w:hAnsi="Arial" w:cs="Arial"/>
          <w:color w:val="000000"/>
        </w:rPr>
        <w:t>therefore mitochondrial disease was unlikely</w:t>
      </w:r>
      <w:r w:rsidR="00A67BF8" w:rsidRPr="00A67BF8">
        <w:rPr>
          <w:rFonts w:ascii="Arial" w:hAnsi="Arial" w:cs="Arial"/>
          <w:color w:val="000000"/>
          <w:vertAlign w:val="superscript"/>
        </w:rPr>
        <w:t>2</w:t>
      </w:r>
      <w:r w:rsidR="00F23E6A" w:rsidRPr="00097512">
        <w:rPr>
          <w:rFonts w:ascii="Arial" w:hAnsi="Arial" w:cs="Arial"/>
          <w:color w:val="000000"/>
        </w:rPr>
        <w:t>.</w:t>
      </w:r>
      <w:r w:rsidR="00F23E6A">
        <w:rPr>
          <w:rFonts w:ascii="Arial" w:hAnsi="Arial" w:cs="Arial"/>
          <w:color w:val="000000"/>
        </w:rPr>
        <w:t xml:space="preserve"> Also, </w:t>
      </w:r>
      <w:r w:rsidR="00F42584">
        <w:rPr>
          <w:rFonts w:ascii="Arial" w:hAnsi="Arial" w:cs="Arial"/>
          <w:color w:val="000000"/>
        </w:rPr>
        <w:t xml:space="preserve">SCA8 was unlikely because </w:t>
      </w:r>
      <w:r w:rsidR="00661C37">
        <w:rPr>
          <w:rFonts w:ascii="Arial" w:hAnsi="Arial" w:cs="Arial" w:hint="eastAsia"/>
          <w:color w:val="000000"/>
        </w:rPr>
        <w:t xml:space="preserve">the </w:t>
      </w:r>
      <w:r w:rsidR="00F42584">
        <w:rPr>
          <w:rFonts w:ascii="Arial" w:hAnsi="Arial" w:cs="Arial"/>
          <w:color w:val="000000"/>
        </w:rPr>
        <w:t xml:space="preserve">onset age of all reported </w:t>
      </w:r>
      <w:r w:rsidR="00CD30FD">
        <w:rPr>
          <w:rFonts w:ascii="Arial" w:hAnsi="Arial" w:cs="Arial"/>
          <w:color w:val="000000"/>
        </w:rPr>
        <w:t xml:space="preserve">SCA8 </w:t>
      </w:r>
      <w:r w:rsidR="00F42584">
        <w:rPr>
          <w:rFonts w:ascii="Arial" w:hAnsi="Arial" w:cs="Arial"/>
          <w:color w:val="000000"/>
        </w:rPr>
        <w:t>case</w:t>
      </w:r>
      <w:r w:rsidR="00CD30FD">
        <w:rPr>
          <w:rFonts w:ascii="Arial" w:hAnsi="Arial" w:cs="Arial"/>
          <w:color w:val="000000"/>
        </w:rPr>
        <w:t>s</w:t>
      </w:r>
      <w:r w:rsidR="00661C37">
        <w:rPr>
          <w:rFonts w:ascii="Arial" w:hAnsi="Arial" w:cs="Arial"/>
          <w:color w:val="000000"/>
        </w:rPr>
        <w:t xml:space="preserve"> </w:t>
      </w:r>
      <w:r w:rsidR="00661C37">
        <w:rPr>
          <w:rFonts w:ascii="Arial" w:hAnsi="Arial" w:cs="Arial" w:hint="eastAsia"/>
          <w:color w:val="000000"/>
        </w:rPr>
        <w:t>i</w:t>
      </w:r>
      <w:r w:rsidR="00CD30FD">
        <w:rPr>
          <w:rFonts w:ascii="Arial" w:hAnsi="Arial" w:cs="Arial"/>
          <w:color w:val="000000"/>
        </w:rPr>
        <w:t>s</w:t>
      </w:r>
      <w:r w:rsidR="00F42584">
        <w:rPr>
          <w:rFonts w:ascii="Arial" w:hAnsi="Arial" w:cs="Arial"/>
          <w:color w:val="000000"/>
        </w:rPr>
        <w:t xml:space="preserve"> below 73 years.</w:t>
      </w:r>
    </w:p>
    <w:p w14:paraId="174B9CBF" w14:textId="65FDE819" w:rsidR="00CF3EEC" w:rsidRDefault="00CF3EEC" w:rsidP="00F42584">
      <w:pPr>
        <w:ind w:firstLine="960"/>
        <w:rPr>
          <w:rFonts w:ascii="Arial" w:hAnsi="Arial" w:cs="Arial"/>
          <w:i/>
          <w:color w:val="000000"/>
        </w:rPr>
      </w:pPr>
      <w:r w:rsidRPr="00DA5DD2">
        <w:rPr>
          <w:rFonts w:ascii="Arial" w:hAnsi="Arial" w:cs="Arial"/>
          <w:color w:val="000000"/>
        </w:rPr>
        <w:t xml:space="preserve">After </w:t>
      </w:r>
      <w:r w:rsidR="00F65C8E">
        <w:rPr>
          <w:rFonts w:ascii="Arial" w:hAnsi="Arial" w:cs="Arial"/>
          <w:color w:val="000000"/>
        </w:rPr>
        <w:t>filtering out</w:t>
      </w:r>
      <w:r w:rsidRPr="00DA5DD2">
        <w:rPr>
          <w:rFonts w:ascii="Arial" w:hAnsi="Arial" w:cs="Arial"/>
          <w:color w:val="000000"/>
        </w:rPr>
        <w:t xml:space="preserve"> the clearly benign mutations such as </w:t>
      </w:r>
      <w:proofErr w:type="spellStart"/>
      <w:r w:rsidRPr="00DA5DD2">
        <w:rPr>
          <w:rFonts w:ascii="Arial" w:hAnsi="Arial" w:cs="Arial"/>
          <w:color w:val="000000"/>
        </w:rPr>
        <w:t>intron_variant</w:t>
      </w:r>
      <w:proofErr w:type="spellEnd"/>
      <w:r w:rsidRPr="00DA5DD2">
        <w:rPr>
          <w:rFonts w:ascii="Arial" w:hAnsi="Arial" w:cs="Arial"/>
          <w:color w:val="000000"/>
        </w:rPr>
        <w:t xml:space="preserve"> </w:t>
      </w:r>
      <w:r w:rsidR="00C12CFD">
        <w:rPr>
          <w:rFonts w:ascii="Arial" w:hAnsi="Arial" w:cs="Arial"/>
          <w:color w:val="000000"/>
        </w:rPr>
        <w:t>or</w:t>
      </w:r>
      <w:r w:rsidRPr="00DA5DD2">
        <w:rPr>
          <w:rFonts w:ascii="Arial" w:hAnsi="Arial" w:cs="Arial" w:hint="eastAsia"/>
          <w:color w:val="000000"/>
        </w:rPr>
        <w:t xml:space="preserve"> </w:t>
      </w:r>
      <w:proofErr w:type="spellStart"/>
      <w:r w:rsidRPr="00DA5DD2">
        <w:rPr>
          <w:rFonts w:ascii="Arial" w:hAnsi="Arial" w:cs="Arial" w:hint="eastAsia"/>
          <w:color w:val="000000"/>
        </w:rPr>
        <w:t>synonymous_variant</w:t>
      </w:r>
      <w:proofErr w:type="spellEnd"/>
      <w:r w:rsidRPr="00DA5DD2">
        <w:rPr>
          <w:rFonts w:ascii="Arial" w:hAnsi="Arial" w:cs="Arial" w:hint="eastAsia"/>
          <w:color w:val="000000"/>
        </w:rPr>
        <w:t xml:space="preserve">, </w:t>
      </w:r>
      <w:r w:rsidR="00661C37">
        <w:rPr>
          <w:rFonts w:ascii="Arial" w:hAnsi="Arial" w:cs="Arial"/>
          <w:color w:val="000000"/>
        </w:rPr>
        <w:t xml:space="preserve">1 </w:t>
      </w:r>
      <w:proofErr w:type="spellStart"/>
      <w:r w:rsidR="00661C37">
        <w:rPr>
          <w:rFonts w:ascii="Arial" w:hAnsi="Arial" w:cs="Arial"/>
          <w:color w:val="000000"/>
        </w:rPr>
        <w:t>inf</w:t>
      </w:r>
      <w:r w:rsidR="00661C37">
        <w:rPr>
          <w:rFonts w:ascii="Arial" w:hAnsi="Arial" w:cs="Arial" w:hint="eastAsia"/>
          <w:color w:val="000000"/>
        </w:rPr>
        <w:t>r</w:t>
      </w:r>
      <w:r w:rsidR="00250F4F">
        <w:rPr>
          <w:rFonts w:ascii="Arial" w:hAnsi="Arial" w:cs="Arial"/>
          <w:color w:val="000000"/>
        </w:rPr>
        <w:t>ame_insertion</w:t>
      </w:r>
      <w:proofErr w:type="spellEnd"/>
      <w:r w:rsidR="00250F4F">
        <w:rPr>
          <w:rFonts w:ascii="Arial" w:hAnsi="Arial" w:cs="Arial"/>
          <w:color w:val="000000"/>
        </w:rPr>
        <w:t xml:space="preserve"> in </w:t>
      </w:r>
      <w:r w:rsidR="00250F4F" w:rsidRPr="005C5C7C">
        <w:rPr>
          <w:rFonts w:ascii="Arial" w:hAnsi="Arial" w:cs="Arial"/>
          <w:i/>
          <w:color w:val="000000"/>
        </w:rPr>
        <w:t>ATXN2</w:t>
      </w:r>
      <w:r w:rsidR="005C5C7C">
        <w:rPr>
          <w:rFonts w:ascii="Arial" w:hAnsi="Arial" w:cs="Arial"/>
          <w:color w:val="000000"/>
        </w:rPr>
        <w:t xml:space="preserve"> which was already confirmed by Sanger sequencing (Figure D) and </w:t>
      </w:r>
      <w:r w:rsidRPr="00DA5DD2">
        <w:rPr>
          <w:rFonts w:ascii="Arial" w:hAnsi="Arial" w:cs="Arial" w:hint="eastAsia"/>
          <w:color w:val="000000"/>
        </w:rPr>
        <w:t xml:space="preserve">33 </w:t>
      </w:r>
      <w:proofErr w:type="spellStart"/>
      <w:r w:rsidRPr="00DA5DD2">
        <w:rPr>
          <w:rFonts w:ascii="Arial" w:hAnsi="Arial" w:cs="Arial" w:hint="eastAsia"/>
          <w:color w:val="000000"/>
        </w:rPr>
        <w:t>missense_variant</w:t>
      </w:r>
      <w:r w:rsidR="005C5C7C">
        <w:rPr>
          <w:rFonts w:ascii="Arial" w:hAnsi="Arial" w:cs="Arial"/>
          <w:color w:val="000000"/>
        </w:rPr>
        <w:t>s</w:t>
      </w:r>
      <w:proofErr w:type="spellEnd"/>
      <w:r w:rsidRPr="00DA5DD2">
        <w:rPr>
          <w:rFonts w:ascii="Arial" w:hAnsi="Arial" w:cs="Arial" w:hint="eastAsia"/>
          <w:color w:val="000000"/>
        </w:rPr>
        <w:t xml:space="preserve"> were left in 14 genes causing ataxia (Table e-2).</w:t>
      </w:r>
      <w:r w:rsidR="00661C37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Pr="00DA5DD2">
        <w:rPr>
          <w:rFonts w:ascii="Arial" w:hAnsi="Arial" w:cs="Arial" w:hint="eastAsia"/>
          <w:color w:val="000000"/>
        </w:rPr>
        <w:t xml:space="preserve">In the list, </w:t>
      </w:r>
      <w:r w:rsidR="00661C37">
        <w:rPr>
          <w:rFonts w:ascii="Arial" w:hAnsi="Arial" w:cs="Arial" w:hint="eastAsia"/>
          <w:color w:val="000000"/>
        </w:rPr>
        <w:t xml:space="preserve">the </w:t>
      </w:r>
      <w:r w:rsidRPr="00DA5DD2">
        <w:rPr>
          <w:rFonts w:ascii="Arial" w:hAnsi="Arial" w:cs="Arial" w:hint="eastAsia"/>
          <w:color w:val="000000"/>
        </w:rPr>
        <w:t>non-reference allele frequency of existing variation</w:t>
      </w:r>
      <w:r w:rsidR="00661C37">
        <w:rPr>
          <w:rFonts w:ascii="Arial" w:hAnsi="Arial" w:cs="Arial" w:hint="eastAsia"/>
          <w:color w:val="000000"/>
        </w:rPr>
        <w:t>s</w:t>
      </w:r>
      <w:r w:rsidRPr="00DA5DD2">
        <w:rPr>
          <w:rFonts w:ascii="Arial" w:hAnsi="Arial" w:cs="Arial" w:hint="eastAsia"/>
          <w:color w:val="000000"/>
        </w:rPr>
        <w:t xml:space="preserve"> in</w:t>
      </w:r>
      <w:r w:rsidR="00661C37">
        <w:rPr>
          <w:rFonts w:ascii="Arial" w:hAnsi="Arial" w:cs="Arial" w:hint="eastAsia"/>
          <w:color w:val="000000"/>
        </w:rPr>
        <w:t xml:space="preserve"> the</w:t>
      </w:r>
      <w:r w:rsidRPr="00DA5DD2">
        <w:rPr>
          <w:rFonts w:ascii="Arial" w:hAnsi="Arial" w:cs="Arial" w:hint="eastAsia"/>
          <w:color w:val="000000"/>
        </w:rPr>
        <w:t xml:space="preserve"> 1000 Genomes combined East Asian population (phase 3) was rel</w:t>
      </w:r>
      <w:r w:rsidR="00661C37">
        <w:rPr>
          <w:rFonts w:ascii="Arial" w:hAnsi="Arial" w:cs="Arial" w:hint="eastAsia"/>
          <w:color w:val="000000"/>
        </w:rPr>
        <w:t>atively high for most mutations;</w:t>
      </w:r>
      <w:r w:rsidRPr="00DA5DD2">
        <w:rPr>
          <w:rFonts w:ascii="Arial" w:hAnsi="Arial" w:cs="Arial" w:hint="eastAsia"/>
          <w:color w:val="000000"/>
        </w:rPr>
        <w:t xml:space="preserve"> </w:t>
      </w:r>
      <w:r w:rsidRPr="00DA5DD2">
        <w:rPr>
          <w:rFonts w:ascii="Arial" w:hAnsi="Arial" w:cs="Arial"/>
          <w:color w:val="000000"/>
        </w:rPr>
        <w:t>therefore</w:t>
      </w:r>
      <w:r w:rsidR="00661C37">
        <w:rPr>
          <w:rFonts w:ascii="Arial" w:hAnsi="Arial" w:cs="Arial" w:hint="eastAsia"/>
          <w:color w:val="000000"/>
        </w:rPr>
        <w:t>,</w:t>
      </w:r>
      <w:r w:rsidRPr="00DA5DD2">
        <w:rPr>
          <w:rFonts w:ascii="Arial" w:hAnsi="Arial" w:cs="Arial"/>
          <w:color w:val="000000"/>
        </w:rPr>
        <w:t xml:space="preserve"> these mutations were unlikely to cause ataxia.</w:t>
      </w:r>
      <w:r w:rsidR="00661C37">
        <w:rPr>
          <w:rFonts w:ascii="Arial" w:hAnsi="Arial" w:cs="Arial" w:hint="eastAsia"/>
          <w:color w:val="000000"/>
        </w:rPr>
        <w:t xml:space="preserve"> </w:t>
      </w:r>
      <w:r w:rsidRPr="00DA5DD2">
        <w:rPr>
          <w:rFonts w:ascii="Arial" w:hAnsi="Arial" w:cs="Arial"/>
          <w:color w:val="000000"/>
        </w:rPr>
        <w:t>The lowest frequency for the mutation was 0.004</w:t>
      </w:r>
      <w:r w:rsidR="00661C37">
        <w:rPr>
          <w:rFonts w:ascii="Arial" w:hAnsi="Arial" w:cs="Arial" w:hint="eastAsia"/>
          <w:color w:val="000000"/>
        </w:rPr>
        <w:t xml:space="preserve"> </w:t>
      </w:r>
      <w:r w:rsidRPr="00DA5DD2">
        <w:rPr>
          <w:rFonts w:ascii="Arial" w:hAnsi="Arial" w:cs="Arial"/>
          <w:color w:val="000000"/>
        </w:rPr>
        <w:t xml:space="preserve">(0.4%) in </w:t>
      </w:r>
      <w:r w:rsidR="00661C37">
        <w:rPr>
          <w:rFonts w:ascii="Arial" w:hAnsi="Arial" w:cs="Arial" w:hint="eastAsia"/>
          <w:color w:val="000000"/>
        </w:rPr>
        <w:t xml:space="preserve">the </w:t>
      </w:r>
      <w:r w:rsidRPr="00DA5DD2">
        <w:rPr>
          <w:rFonts w:ascii="Arial" w:hAnsi="Arial" w:cs="Arial"/>
          <w:i/>
          <w:color w:val="000000"/>
        </w:rPr>
        <w:t>GALC</w:t>
      </w:r>
      <w:r w:rsidR="00661C37">
        <w:rPr>
          <w:rFonts w:ascii="Arial" w:hAnsi="Arial" w:cs="Arial"/>
          <w:color w:val="000000"/>
        </w:rPr>
        <w:t xml:space="preserve"> gene</w:t>
      </w:r>
      <w:r w:rsidR="00661C37">
        <w:rPr>
          <w:rFonts w:ascii="Arial" w:hAnsi="Arial" w:cs="Arial" w:hint="eastAsia"/>
          <w:color w:val="000000"/>
        </w:rPr>
        <w:t>;</w:t>
      </w:r>
      <w:r w:rsidRPr="00DA5DD2">
        <w:rPr>
          <w:rFonts w:ascii="Arial" w:hAnsi="Arial" w:cs="Arial"/>
          <w:color w:val="000000"/>
        </w:rPr>
        <w:t xml:space="preserve"> however, the evaluation by Variant Clinical Significance was "benign". In conclusion, we found no causative mutation </w:t>
      </w:r>
      <w:r w:rsidRPr="00DA5DD2">
        <w:rPr>
          <w:rFonts w:ascii="Arial" w:hAnsi="Arial" w:cs="Arial"/>
          <w:color w:val="000000"/>
        </w:rPr>
        <w:lastRenderedPageBreak/>
        <w:t xml:space="preserve">among the candidate genes for ataxia except </w:t>
      </w:r>
      <w:r w:rsidR="00661C37">
        <w:rPr>
          <w:rFonts w:ascii="Arial" w:hAnsi="Arial" w:cs="Arial" w:hint="eastAsia"/>
          <w:color w:val="000000"/>
        </w:rPr>
        <w:t xml:space="preserve">for the </w:t>
      </w:r>
      <w:r w:rsidRPr="00DA5DD2">
        <w:rPr>
          <w:rFonts w:ascii="Arial" w:hAnsi="Arial" w:cs="Arial"/>
          <w:color w:val="000000"/>
        </w:rPr>
        <w:t>homozygous expansion of trinucleotide repeats in</w:t>
      </w:r>
      <w:r w:rsidRPr="00DA5DD2">
        <w:rPr>
          <w:rFonts w:ascii="Arial" w:hAnsi="Arial" w:cs="Arial"/>
          <w:i/>
          <w:color w:val="000000"/>
        </w:rPr>
        <w:t xml:space="preserve"> ATXN2.</w:t>
      </w:r>
    </w:p>
    <w:p w14:paraId="40603CB2" w14:textId="77777777" w:rsidR="00A67BF8" w:rsidRDefault="00A67BF8" w:rsidP="00A67BF8">
      <w:pPr>
        <w:rPr>
          <w:rFonts w:ascii="Arial" w:hAnsi="Arial" w:cs="Arial"/>
          <w:i/>
          <w:color w:val="000000"/>
        </w:rPr>
      </w:pPr>
    </w:p>
    <w:p w14:paraId="47054BFC" w14:textId="203C94AC" w:rsidR="00A67BF8" w:rsidRPr="00A67BF8" w:rsidRDefault="00A67BF8" w:rsidP="004B6C46">
      <w:pPr>
        <w:jc w:val="left"/>
        <w:rPr>
          <w:rFonts w:ascii="Arial" w:hAnsi="Arial" w:cs="Arial"/>
          <w:b/>
          <w:color w:val="000000"/>
        </w:rPr>
      </w:pPr>
      <w:r w:rsidRPr="00A67BF8">
        <w:rPr>
          <w:rFonts w:ascii="Arial" w:hAnsi="Arial" w:cs="Arial"/>
          <w:b/>
          <w:color w:val="000000"/>
        </w:rPr>
        <w:t>References</w:t>
      </w:r>
    </w:p>
    <w:p w14:paraId="000A197B" w14:textId="5EA25691" w:rsidR="004B6C46" w:rsidRDefault="004B6C46" w:rsidP="004B6C46">
      <w:pPr>
        <w:pStyle w:val="a6"/>
        <w:numPr>
          <w:ilvl w:val="0"/>
          <w:numId w:val="1"/>
        </w:numPr>
        <w:ind w:leftChars="0"/>
        <w:jc w:val="left"/>
        <w:rPr>
          <w:rFonts w:ascii="Arial" w:hAnsi="Arial" w:cs="Arial"/>
          <w:color w:val="000000"/>
        </w:rPr>
      </w:pPr>
      <w:proofErr w:type="spellStart"/>
      <w:r w:rsidRPr="004B6C46">
        <w:rPr>
          <w:rFonts w:ascii="Arial" w:hAnsi="Arial" w:cs="Arial"/>
          <w:color w:val="000000"/>
        </w:rPr>
        <w:t>Hadjivassiliou</w:t>
      </w:r>
      <w:proofErr w:type="spellEnd"/>
      <w:r w:rsidRPr="004B6C46">
        <w:rPr>
          <w:rFonts w:ascii="Arial" w:hAnsi="Arial" w:cs="Arial"/>
          <w:color w:val="000000"/>
        </w:rPr>
        <w:t xml:space="preserve"> M, Martindale J, </w:t>
      </w:r>
      <w:proofErr w:type="spellStart"/>
      <w:r w:rsidRPr="004B6C46">
        <w:rPr>
          <w:rFonts w:ascii="Arial" w:hAnsi="Arial" w:cs="Arial"/>
          <w:color w:val="000000"/>
        </w:rPr>
        <w:t>Shanmugarajah</w:t>
      </w:r>
      <w:proofErr w:type="spellEnd"/>
      <w:r w:rsidRPr="004B6C46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 xml:space="preserve">, et al. </w:t>
      </w:r>
      <w:proofErr w:type="gramStart"/>
      <w:r w:rsidRPr="004B6C46">
        <w:rPr>
          <w:rFonts w:ascii="Arial" w:hAnsi="Arial" w:cs="Arial"/>
          <w:color w:val="000000"/>
        </w:rPr>
        <w:t>Causes</w:t>
      </w:r>
      <w:proofErr w:type="gramEnd"/>
      <w:r w:rsidRPr="004B6C46">
        <w:rPr>
          <w:rFonts w:ascii="Arial" w:hAnsi="Arial" w:cs="Arial"/>
          <w:color w:val="000000"/>
        </w:rPr>
        <w:t xml:space="preserve"> of progressive cerebellar ataxia: prospective evaluation of 1500 patients.</w:t>
      </w:r>
      <w:r>
        <w:rPr>
          <w:rFonts w:ascii="Arial" w:hAnsi="Arial" w:cs="Arial"/>
          <w:color w:val="000000"/>
        </w:rPr>
        <w:t xml:space="preserve"> </w:t>
      </w:r>
      <w:r w:rsidRPr="004B6C46">
        <w:rPr>
          <w:rFonts w:ascii="Arial" w:hAnsi="Arial" w:cs="Arial"/>
          <w:color w:val="000000"/>
        </w:rPr>
        <w:t xml:space="preserve">J </w:t>
      </w:r>
      <w:proofErr w:type="spellStart"/>
      <w:r w:rsidRPr="004B6C46">
        <w:rPr>
          <w:rFonts w:ascii="Arial" w:hAnsi="Arial" w:cs="Arial"/>
          <w:color w:val="000000"/>
        </w:rPr>
        <w:t>Neurol</w:t>
      </w:r>
      <w:proofErr w:type="spellEnd"/>
      <w:r w:rsidRPr="004B6C46">
        <w:rPr>
          <w:rFonts w:ascii="Arial" w:hAnsi="Arial" w:cs="Arial"/>
          <w:color w:val="000000"/>
        </w:rPr>
        <w:t xml:space="preserve"> </w:t>
      </w:r>
      <w:proofErr w:type="spellStart"/>
      <w:r w:rsidRPr="004B6C46">
        <w:rPr>
          <w:rFonts w:ascii="Arial" w:hAnsi="Arial" w:cs="Arial"/>
          <w:color w:val="000000"/>
        </w:rPr>
        <w:t>Neurosurg</w:t>
      </w:r>
      <w:proofErr w:type="spellEnd"/>
      <w:r w:rsidRPr="004B6C46">
        <w:rPr>
          <w:rFonts w:ascii="Arial" w:hAnsi="Arial" w:cs="Arial"/>
          <w:color w:val="000000"/>
        </w:rPr>
        <w:t xml:space="preserve"> Psychiatry. 2017 Apr;88(4):301-309</w:t>
      </w:r>
    </w:p>
    <w:p w14:paraId="640C4B30" w14:textId="77777777" w:rsidR="007E6E29" w:rsidRPr="004B6C46" w:rsidRDefault="007E6E29" w:rsidP="007E6E29">
      <w:pPr>
        <w:pStyle w:val="a6"/>
        <w:numPr>
          <w:ilvl w:val="0"/>
          <w:numId w:val="1"/>
        </w:numPr>
        <w:ind w:leftChars="0"/>
        <w:jc w:val="left"/>
        <w:rPr>
          <w:rFonts w:ascii="Arial" w:hAnsi="Arial" w:cs="Arial"/>
          <w:color w:val="000000"/>
        </w:rPr>
      </w:pPr>
      <w:proofErr w:type="spellStart"/>
      <w:r w:rsidRPr="004B6C46">
        <w:rPr>
          <w:rFonts w:ascii="Arial" w:hAnsi="Arial" w:cs="Arial"/>
          <w:color w:val="000000"/>
        </w:rPr>
        <w:t>Bargiela</w:t>
      </w:r>
      <w:proofErr w:type="spellEnd"/>
      <w:r w:rsidRPr="004B6C46">
        <w:rPr>
          <w:rFonts w:ascii="Arial" w:hAnsi="Arial" w:cs="Arial"/>
          <w:color w:val="000000"/>
        </w:rPr>
        <w:t xml:space="preserve"> D, </w:t>
      </w:r>
      <w:proofErr w:type="spellStart"/>
      <w:r w:rsidRPr="004B6C46">
        <w:rPr>
          <w:rFonts w:ascii="Arial" w:hAnsi="Arial" w:cs="Arial"/>
          <w:color w:val="000000"/>
        </w:rPr>
        <w:t>Shanmugarajah</w:t>
      </w:r>
      <w:proofErr w:type="spellEnd"/>
      <w:r w:rsidRPr="004B6C46">
        <w:rPr>
          <w:rFonts w:ascii="Arial" w:hAnsi="Arial" w:cs="Arial"/>
          <w:color w:val="000000"/>
        </w:rPr>
        <w:t xml:space="preserve"> P, Lo C, et al. Mitochondrial pathology in progressive cerebellar ataxia. Cerebellum Ataxias. 2015 Dec 4;2:16</w:t>
      </w:r>
    </w:p>
    <w:p w14:paraId="2DF9D27A" w14:textId="77777777" w:rsidR="007E6E29" w:rsidRPr="004B6C46" w:rsidRDefault="007E6E29" w:rsidP="007E6E29">
      <w:pPr>
        <w:pStyle w:val="a6"/>
        <w:ind w:leftChars="0" w:left="360"/>
        <w:jc w:val="left"/>
        <w:rPr>
          <w:rFonts w:ascii="Arial" w:hAnsi="Arial" w:cs="Arial"/>
          <w:color w:val="000000"/>
        </w:rPr>
      </w:pPr>
    </w:p>
    <w:sectPr w:rsidR="007E6E29" w:rsidRPr="004B6C46" w:rsidSect="0096285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9CC63" w14:textId="77777777" w:rsidR="002231C1" w:rsidRDefault="002231C1" w:rsidP="00661C37">
      <w:r>
        <w:separator/>
      </w:r>
    </w:p>
  </w:endnote>
  <w:endnote w:type="continuationSeparator" w:id="0">
    <w:p w14:paraId="62E8852D" w14:textId="77777777" w:rsidR="002231C1" w:rsidRDefault="002231C1" w:rsidP="0066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5047" w14:textId="77777777" w:rsidR="002231C1" w:rsidRDefault="002231C1" w:rsidP="00661C37">
      <w:r>
        <w:separator/>
      </w:r>
    </w:p>
  </w:footnote>
  <w:footnote w:type="continuationSeparator" w:id="0">
    <w:p w14:paraId="7FFA1CD4" w14:textId="77777777" w:rsidR="002231C1" w:rsidRDefault="002231C1" w:rsidP="0066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25C"/>
    <w:multiLevelType w:val="hybridMultilevel"/>
    <w:tmpl w:val="3F9A41E6"/>
    <w:lvl w:ilvl="0" w:tplc="24F8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C"/>
    <w:rsid w:val="0006137F"/>
    <w:rsid w:val="00097512"/>
    <w:rsid w:val="002231C1"/>
    <w:rsid w:val="00250F4F"/>
    <w:rsid w:val="00276E52"/>
    <w:rsid w:val="003C30C9"/>
    <w:rsid w:val="004B6C46"/>
    <w:rsid w:val="004F6C04"/>
    <w:rsid w:val="005700A2"/>
    <w:rsid w:val="005C5C7C"/>
    <w:rsid w:val="00661C37"/>
    <w:rsid w:val="00691166"/>
    <w:rsid w:val="007E6E29"/>
    <w:rsid w:val="00801337"/>
    <w:rsid w:val="008B5B2A"/>
    <w:rsid w:val="0096285B"/>
    <w:rsid w:val="00A67BF8"/>
    <w:rsid w:val="00C12CFD"/>
    <w:rsid w:val="00CD30FD"/>
    <w:rsid w:val="00CF3EEC"/>
    <w:rsid w:val="00F23E6A"/>
    <w:rsid w:val="00F42584"/>
    <w:rsid w:val="00F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5C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6C4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F4F"/>
    <w:rPr>
      <w:i/>
      <w:iCs/>
    </w:rPr>
  </w:style>
  <w:style w:type="character" w:styleId="a4">
    <w:name w:val="Hyperlink"/>
    <w:basedOn w:val="a0"/>
    <w:uiPriority w:val="99"/>
    <w:unhideWhenUsed/>
    <w:rsid w:val="004B6C4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B6C46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B6C4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6C4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6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C37"/>
  </w:style>
  <w:style w:type="paragraph" w:styleId="a9">
    <w:name w:val="footer"/>
    <w:basedOn w:val="a"/>
    <w:link w:val="aa"/>
    <w:uiPriority w:val="99"/>
    <w:unhideWhenUsed/>
    <w:rsid w:val="00661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6C4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0F4F"/>
    <w:rPr>
      <w:i/>
      <w:iCs/>
    </w:rPr>
  </w:style>
  <w:style w:type="character" w:styleId="a4">
    <w:name w:val="Hyperlink"/>
    <w:basedOn w:val="a0"/>
    <w:uiPriority w:val="99"/>
    <w:unhideWhenUsed/>
    <w:rsid w:val="004B6C4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4B6C46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4B6C4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6C4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6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C37"/>
  </w:style>
  <w:style w:type="paragraph" w:styleId="a9">
    <w:name w:val="footer"/>
    <w:basedOn w:val="a"/>
    <w:link w:val="aa"/>
    <w:uiPriority w:val="99"/>
    <w:unhideWhenUsed/>
    <w:rsid w:val="00661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Hirofumi Yamashita</dc:creator>
  <cp:lastModifiedBy>Maya Tojima</cp:lastModifiedBy>
  <cp:revision>2</cp:revision>
  <dcterms:created xsi:type="dcterms:W3CDTF">2018-06-24T05:44:00Z</dcterms:created>
  <dcterms:modified xsi:type="dcterms:W3CDTF">2018-06-24T05:44:00Z</dcterms:modified>
</cp:coreProperties>
</file>