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15" w:rsidRPr="00AB5A0B" w:rsidRDefault="00343515" w:rsidP="00343515">
      <w:pPr>
        <w:spacing w:after="0"/>
        <w:rPr>
          <w:b/>
        </w:rPr>
      </w:pPr>
      <w:r>
        <w:rPr>
          <w:b/>
        </w:rPr>
        <w:t>APPENDIX 1</w:t>
      </w:r>
      <w:bookmarkStart w:id="0" w:name="_GoBack"/>
      <w:bookmarkEnd w:id="0"/>
    </w:p>
    <w:p w:rsidR="00343515" w:rsidRPr="00823F1A" w:rsidRDefault="00343515" w:rsidP="00343515">
      <w:pPr>
        <w:tabs>
          <w:tab w:val="left" w:pos="360"/>
        </w:tabs>
        <w:spacing w:after="0"/>
        <w:rPr>
          <w:b/>
        </w:rPr>
      </w:pPr>
      <w:r w:rsidRPr="00823F1A">
        <w:rPr>
          <w:b/>
        </w:rPr>
        <w:t>Variant-level Quality Control</w:t>
      </w:r>
    </w:p>
    <w:p w:rsidR="00343515" w:rsidRDefault="00343515" w:rsidP="00343515">
      <w:pPr>
        <w:tabs>
          <w:tab w:val="left" w:pos="360"/>
        </w:tabs>
        <w:spacing w:after="0"/>
      </w:pPr>
      <w:r>
        <w:t xml:space="preserve">Variant-level quality control (QC) included removal of variants with a low mapping score (QUAL score &lt; 22, </w:t>
      </w:r>
      <w:proofErr w:type="spellStart"/>
      <w:r>
        <w:t>Prob</w:t>
      </w:r>
      <w:proofErr w:type="spellEnd"/>
      <w:r>
        <w:t xml:space="preserve"> &lt; 0.95), variants not labeled “Pass”, variants with low read depth (&lt;6), variants with out-of-range variant read </w:t>
      </w:r>
      <w:proofErr w:type="gramStart"/>
      <w:r>
        <w:t>count(</w:t>
      </w:r>
      <w:proofErr w:type="gramEnd"/>
      <w:r>
        <w:t xml:space="preserve">&lt;3 reads or &lt;10% alternate read for heterozygotes), and variants represented by a single strand (&gt;0.99). Additional filtering included removal of monomorphic variants, variants with high </w:t>
      </w:r>
      <w:proofErr w:type="spellStart"/>
      <w:r>
        <w:t>missingness</w:t>
      </w:r>
      <w:proofErr w:type="spellEnd"/>
      <w:r>
        <w:t xml:space="preserve"> (&gt;20%), variants with excessive heterozygosity (|z|&gt;1.22 for MAF &lt;0.2, |z|&gt; 5 </w:t>
      </w:r>
      <w:proofErr w:type="spellStart"/>
      <w:r>
        <w:t>st.dev</w:t>
      </w:r>
      <w:proofErr w:type="spellEnd"/>
      <w:r>
        <w:t xml:space="preserve"> for MAF &gt;= 0.2) [14], and variants with very high read depth (&gt;500 reads).</w:t>
      </w:r>
    </w:p>
    <w:p w:rsidR="00343515" w:rsidRDefault="00343515" w:rsidP="00343515">
      <w:pPr>
        <w:tabs>
          <w:tab w:val="left" w:pos="360"/>
        </w:tabs>
        <w:spacing w:after="0"/>
      </w:pPr>
    </w:p>
    <w:p w:rsidR="00343515" w:rsidRPr="00823F1A" w:rsidRDefault="00343515" w:rsidP="00343515">
      <w:pPr>
        <w:tabs>
          <w:tab w:val="left" w:pos="360"/>
        </w:tabs>
        <w:spacing w:after="0"/>
        <w:rPr>
          <w:b/>
        </w:rPr>
      </w:pPr>
      <w:r w:rsidRPr="00823F1A">
        <w:rPr>
          <w:b/>
        </w:rPr>
        <w:t>Validation Sequencing</w:t>
      </w:r>
    </w:p>
    <w:p w:rsidR="00343515" w:rsidRDefault="00343515" w:rsidP="00343515">
      <w:pPr>
        <w:tabs>
          <w:tab w:val="left" w:pos="360"/>
        </w:tabs>
        <w:spacing w:after="0"/>
      </w:pPr>
      <w:r>
        <w:t xml:space="preserve">Genomic DNA (~50ng) </w:t>
      </w:r>
      <w:proofErr w:type="gramStart"/>
      <w:r>
        <w:t>was amplified</w:t>
      </w:r>
      <w:proofErr w:type="gramEnd"/>
      <w:r>
        <w:t xml:space="preserve"> using a </w:t>
      </w:r>
      <w:proofErr w:type="spellStart"/>
      <w:r>
        <w:t>SimpliAmp</w:t>
      </w:r>
      <w:proofErr w:type="spellEnd"/>
      <w:r>
        <w:t xml:space="preserve"> Thermal Cycler (Applied </w:t>
      </w:r>
      <w:proofErr w:type="spellStart"/>
      <w:r>
        <w:t>Biosystems</w:t>
      </w:r>
      <w:proofErr w:type="spellEnd"/>
      <w:r>
        <w:t xml:space="preserve">) in a 20ul reaction volume with </w:t>
      </w:r>
      <w:proofErr w:type="spellStart"/>
      <w:r>
        <w:t>HotStarTaq</w:t>
      </w:r>
      <w:proofErr w:type="spellEnd"/>
      <w:r>
        <w:t xml:space="preserve"> Master Mix (</w:t>
      </w:r>
      <w:proofErr w:type="spellStart"/>
      <w:r>
        <w:t>Qiagen</w:t>
      </w:r>
      <w:proofErr w:type="spellEnd"/>
      <w:r>
        <w:t xml:space="preserve">) in the presence of 2uM primers (IDT). The PCR conditions used </w:t>
      </w:r>
      <w:proofErr w:type="gramStart"/>
      <w:r>
        <w:t>were:</w:t>
      </w:r>
      <w:proofErr w:type="gramEnd"/>
      <w:r>
        <w:t xml:space="preserve"> 95°C 15min followed by 30 cycles of 95°C 20sec, 55°C 30sec, 72°C 2min with a final extension of 72°C 7min. The amplified PCR products were prepared for Sanger sequencing by adding </w:t>
      </w:r>
      <w:proofErr w:type="spellStart"/>
      <w:r>
        <w:t>ExoSAP</w:t>
      </w:r>
      <w:proofErr w:type="spellEnd"/>
      <w:r>
        <w:t xml:space="preserve">-IT (USB) and incubating at 37°C for 45min followed by </w:t>
      </w:r>
      <w:proofErr w:type="gramStart"/>
      <w:r>
        <w:t>a</w:t>
      </w:r>
      <w:proofErr w:type="gramEnd"/>
      <w:r>
        <w:t xml:space="preserve"> 80°C 15min. The PCR products were then Sanger sequenced using the </w:t>
      </w:r>
      <w:proofErr w:type="spellStart"/>
      <w:r>
        <w:t>BigDye</w:t>
      </w:r>
      <w:proofErr w:type="spellEnd"/>
      <w:r>
        <w:t xml:space="preserve">® Terminator v3.1 Cycle Sequencing kit (Part No. 4337457 Applied </w:t>
      </w:r>
      <w:proofErr w:type="spellStart"/>
      <w:r>
        <w:t>Biosystems</w:t>
      </w:r>
      <w:proofErr w:type="spellEnd"/>
      <w:r>
        <w:t xml:space="preserve">). The sequencing reaction contained </w:t>
      </w:r>
      <w:proofErr w:type="spellStart"/>
      <w:r>
        <w:t>BigDye</w:t>
      </w:r>
      <w:proofErr w:type="spellEnd"/>
      <w:r>
        <w:t xml:space="preserve">® Terminator v3.1 Ready Reaction Mix, 5X Sequencing Buffer, 5M Betaine solution (Part No. B0300 Sigma) and 0.64uM sequencing primer (IDT) in a total volume of 5ul. The sequencing reaction was performed in a </w:t>
      </w:r>
      <w:proofErr w:type="spellStart"/>
      <w:r>
        <w:t>SimpliAmp</w:t>
      </w:r>
      <w:proofErr w:type="spellEnd"/>
      <w:r>
        <w:t xml:space="preserve"> Thermal Cycler (Applied </w:t>
      </w:r>
      <w:proofErr w:type="spellStart"/>
      <w:r>
        <w:t>Biosystems</w:t>
      </w:r>
      <w:proofErr w:type="spellEnd"/>
      <w:r>
        <w:t xml:space="preserve">) using the following program: 96°C 1min followed by 25 cycles of 96°C 10sec, 50°C 5sec, 60°C 1min15sec. The products </w:t>
      </w:r>
      <w:proofErr w:type="gramStart"/>
      <w:r>
        <w:t>were cleaned</w:t>
      </w:r>
      <w:proofErr w:type="gramEnd"/>
      <w:r>
        <w:t xml:space="preserve"> using </w:t>
      </w:r>
      <w:proofErr w:type="spellStart"/>
      <w:r>
        <w:t>XTerminator</w:t>
      </w:r>
      <w:proofErr w:type="spellEnd"/>
      <w:r>
        <w:t xml:space="preserve"> and SAM Solution (Applied </w:t>
      </w:r>
      <w:proofErr w:type="spellStart"/>
      <w:r>
        <w:t>Biosystems</w:t>
      </w:r>
      <w:proofErr w:type="spellEnd"/>
      <w:r>
        <w:t xml:space="preserve">) with 30min of shaking at 1800rpm followed by centrifugation at 1000 rpm for 2min. The sequencing products </w:t>
      </w:r>
      <w:proofErr w:type="gramStart"/>
      <w:r>
        <w:t>were analyzed</w:t>
      </w:r>
      <w:proofErr w:type="gramEnd"/>
      <w:r>
        <w:t xml:space="preserve"> on a 3130xl Genetic Analyzer (Applied </w:t>
      </w:r>
      <w:proofErr w:type="spellStart"/>
      <w:r>
        <w:t>Biosystems</w:t>
      </w:r>
      <w:proofErr w:type="spellEnd"/>
      <w:r>
        <w:t xml:space="preserve">) and the sequencing traces were compared using </w:t>
      </w:r>
      <w:proofErr w:type="spellStart"/>
      <w:r>
        <w:t>Sequencher</w:t>
      </w:r>
      <w:proofErr w:type="spellEnd"/>
      <w:r>
        <w:t xml:space="preserve"> 4.1 (Gene Code).</w:t>
      </w:r>
    </w:p>
    <w:p w:rsidR="00343515" w:rsidRDefault="00343515" w:rsidP="00343515">
      <w:pPr>
        <w:tabs>
          <w:tab w:val="left" w:pos="360"/>
        </w:tabs>
        <w:spacing w:after="0"/>
      </w:pPr>
    </w:p>
    <w:p w:rsidR="004706E5" w:rsidRDefault="00343515" w:rsidP="00343515">
      <w:r w:rsidRPr="00823F1A">
        <w:rPr>
          <w:b/>
        </w:rPr>
        <w:lastRenderedPageBreak/>
        <w:t>Candidate genes evaluated</w:t>
      </w:r>
      <w:r>
        <w:rPr>
          <w:b/>
        </w:rPr>
        <w:br/>
      </w:r>
      <w:r>
        <w:t xml:space="preserve">Candidate genes evaluated included: </w:t>
      </w:r>
      <w:r w:rsidRPr="00B75906">
        <w:rPr>
          <w:i/>
        </w:rPr>
        <w:t xml:space="preserve">APP, PSEN1, PSEN2, GRN, MAPT, TREM2, PLD3, APOE, ABCA7, SORL1, CR1, BIN1, CD2AP, EPHA1, CLU, MS4A6A, PICALM, CD33, HLA-DRB5, HLA-DRB1, PTK2B, SLC24A4, RIN3, INPP5D, MEF2C, NME8, ZCWPW1, CELF1, FERMT2, CASS4, TREML2, </w:t>
      </w:r>
      <w:r>
        <w:t xml:space="preserve">and </w:t>
      </w:r>
      <w:r w:rsidRPr="00B75906">
        <w:rPr>
          <w:i/>
        </w:rPr>
        <w:t>AKAP9</w:t>
      </w:r>
      <w:r>
        <w:t>.</w:t>
      </w:r>
    </w:p>
    <w:sectPr w:rsidR="0047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9E"/>
    <w:rsid w:val="00343515"/>
    <w:rsid w:val="00404B9E"/>
    <w:rsid w:val="006A7E76"/>
    <w:rsid w:val="00B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51DD"/>
  <w15:chartTrackingRefBased/>
  <w15:docId w15:val="{F237CD6F-AF34-4F2C-A446-1614C713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15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University of Miami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Beecham, Gary W Jr.</dc:creator>
  <cp:keywords/>
  <dc:description/>
  <cp:lastModifiedBy>Beecham, Gary W Jr.</cp:lastModifiedBy>
  <cp:revision>2</cp:revision>
  <dcterms:created xsi:type="dcterms:W3CDTF">2018-06-22T12:07:00Z</dcterms:created>
  <dcterms:modified xsi:type="dcterms:W3CDTF">2018-06-22T12:07:00Z</dcterms:modified>
</cp:coreProperties>
</file>