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87" w:rsidRDefault="00E0010B" w:rsidP="00E0010B">
      <w:r>
        <w:rPr>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-99695</wp:posOffset>
                </wp:positionV>
                <wp:extent cx="466725" cy="4667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66725" cy="466725"/>
                        </a:xfrm>
                        <a:prstGeom prst="rect">
                          <a:avLst/>
                        </a:prstGeom>
                        <a:noFill/>
                        <a:ln w="6350">
                          <a:noFill/>
                        </a:ln>
                      </wps:spPr>
                      <wps:txbx>
                        <w:txbxContent>
                          <w:p w:rsidR="00E0010B" w:rsidRPr="00E0010B" w:rsidRDefault="00E0010B">
                            <w:pPr>
                              <w:rPr>
                                <w:b/>
                                <w:sz w:val="26"/>
                              </w:rPr>
                            </w:pPr>
                            <w:r w:rsidRPr="00E0010B">
                              <w:rPr>
                                <w:b/>
                                <w:sz w:val="2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1.5pt;margin-top:-7.85pt;width:36.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" filled="f" stroked="f" strokeweight=".5pt">
                <v:textbox>
                  <w:txbxContent>
                    <w:p w:rsidR="00E0010B" w:rsidRPr="00E0010B" w:rsidRDefault="00E0010B">
                      <w:pPr>
                        <w:rPr>
                          <w:b/>
                          <w:sz w:val="26"/>
                        </w:rPr>
                      </w:pPr>
                      <w:r w:rsidRPr="00E0010B">
                        <w:rPr>
                          <w:b/>
                          <w:sz w:val="26"/>
                        </w:rPr>
                        <w:t>a)</w:t>
                      </w:r>
                    </w:p>
                  </w:txbxContent>
                </v:textbox>
              </v:shape>
            </w:pict>
          </mc:Fallback>
        </mc:AlternateContent>
      </w:r>
      <w:r>
        <w:rPr>
          <w:noProof/>
          <w:lang w:eastAsia="en-US" w:bidi="ar-SA"/>
        </w:rPr>
        <w:drawing>
          <wp:inline distT="0" distB="0" distL="0" distR="0" wp14:anchorId="42B3BD3C">
            <wp:extent cx="6332855" cy="1405429"/>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7208" cy="1413053"/>
                    </a:xfrm>
                    <a:prstGeom prst="rect">
                      <a:avLst/>
                    </a:prstGeom>
                    <a:noFill/>
                  </pic:spPr>
                </pic:pic>
              </a:graphicData>
            </a:graphic>
          </wp:inline>
        </w:drawing>
      </w:r>
    </w:p>
    <w:p w:rsidR="009200ED" w:rsidRDefault="00E0010B" w:rsidP="00E0010B">
      <w:r>
        <w:rPr>
          <w:noProof/>
          <w:lang w:eastAsia="en-US" w:bidi="ar-SA"/>
        </w:rPr>
        <mc:AlternateContent>
          <mc:Choice Requires="wps">
            <w:drawing>
              <wp:anchor distT="0" distB="0" distL="114300" distR="114300" simplePos="0" relativeHeight="251661312" behindDoc="0" locked="0" layoutInCell="1" allowOverlap="1" wp14:anchorId="49D213F4" wp14:editId="1B546470">
                <wp:simplePos x="0" y="0"/>
                <wp:positionH relativeFrom="column">
                  <wp:posOffset>-400050</wp:posOffset>
                </wp:positionH>
                <wp:positionV relativeFrom="paragraph">
                  <wp:posOffset>881380</wp:posOffset>
                </wp:positionV>
                <wp:extent cx="466725" cy="4667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66725" cy="466725"/>
                        </a:xfrm>
                        <a:prstGeom prst="rect">
                          <a:avLst/>
                        </a:prstGeom>
                        <a:noFill/>
                        <a:ln w="6350">
                          <a:noFill/>
                        </a:ln>
                      </wps:spPr>
                      <wps:txbx>
                        <w:txbxContent>
                          <w:p w:rsidR="00E0010B" w:rsidRPr="00E0010B" w:rsidRDefault="00E0010B" w:rsidP="00E0010B">
                            <w:pPr>
                              <w:rPr>
                                <w:b/>
                                <w:sz w:val="26"/>
                              </w:rPr>
                            </w:pPr>
                            <w:r>
                              <w:rPr>
                                <w:b/>
                                <w:sz w:val="26"/>
                              </w:rPr>
                              <w:t>b</w:t>
                            </w:r>
                            <w:r w:rsidRPr="00E0010B">
                              <w:rPr>
                                <w:b/>
                                <w:sz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D213F4" id="Text Box 26" o:spid="_x0000_s1027" type="#_x0000_t202" style="position:absolute;margin-left:-31.5pt;margin-top:69.4pt;width:36.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" filled="f" stroked="f" strokeweight=".5pt">
                <v:textbox>
                  <w:txbxContent>
                    <w:p w:rsidR="00E0010B" w:rsidRPr="00E0010B" w:rsidRDefault="00E0010B" w:rsidP="00E0010B">
                      <w:pPr>
                        <w:rPr>
                          <w:b/>
                          <w:sz w:val="26"/>
                        </w:rPr>
                      </w:pPr>
                      <w:r>
                        <w:rPr>
                          <w:b/>
                          <w:sz w:val="26"/>
                        </w:rPr>
                        <w:t>b</w:t>
                      </w:r>
                      <w:r w:rsidRPr="00E0010B">
                        <w:rPr>
                          <w:b/>
                          <w:sz w:val="26"/>
                        </w:rPr>
                        <w:t>)</w:t>
                      </w:r>
                    </w:p>
                  </w:txbxContent>
                </v:textbox>
              </v:shape>
            </w:pict>
          </mc:Fallback>
        </mc:AlternateContent>
      </w:r>
      <w:r>
        <w:rPr>
          <w:noProof/>
          <w:lang w:eastAsia="en-US" w:bidi="ar-SA"/>
        </w:rPr>
        <w:drawing>
          <wp:inline distT="0" distB="0" distL="0" distR="0" wp14:anchorId="48D59E21">
            <wp:extent cx="2438400" cy="79459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3735" cy="796330"/>
                    </a:xfrm>
                    <a:prstGeom prst="rect">
                      <a:avLst/>
                    </a:prstGeom>
                    <a:noFill/>
                  </pic:spPr>
                </pic:pic>
              </a:graphicData>
            </a:graphic>
          </wp:inline>
        </w:drawing>
      </w:r>
    </w:p>
    <w:p w:rsidR="00E0010B" w:rsidRDefault="00E0010B" w:rsidP="00E0010B"/>
    <w:p w:rsidR="009200ED" w:rsidRDefault="00E0010B" w:rsidP="00E0010B">
      <w:r>
        <w:rPr>
          <w:noProof/>
          <w:lang w:eastAsia="en-US" w:bidi="ar-SA"/>
        </w:rPr>
        <w:drawing>
          <wp:inline distT="0" distB="0" distL="0" distR="0" wp14:anchorId="4438E8E0" wp14:editId="564AB2C3">
            <wp:extent cx="5191125" cy="33712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4277" cy="3379822"/>
                    </a:xfrm>
                    <a:prstGeom prst="rect">
                      <a:avLst/>
                    </a:prstGeom>
                    <a:noFill/>
                  </pic:spPr>
                </pic:pic>
              </a:graphicData>
            </a:graphic>
          </wp:inline>
        </w:drawing>
      </w:r>
    </w:p>
    <w:p w:rsidR="009C307C" w:rsidRDefault="009C307C" w:rsidP="00E0010B">
      <w:pPr>
        <w:rPr>
          <w:noProof/>
          <w:lang w:eastAsia="en-US" w:bidi="ar-SA"/>
        </w:rPr>
      </w:pPr>
    </w:p>
    <w:p w:rsidR="009200ED" w:rsidRDefault="00E0010B" w:rsidP="00E0010B">
      <w:pPr>
        <w:rPr>
          <w:noProof/>
          <w:lang w:eastAsia="en-US" w:bidi="ar-SA"/>
        </w:rPr>
      </w:pPr>
      <w:r>
        <w:rPr>
          <w:noProof/>
          <w:lang w:eastAsia="en-US" w:bidi="ar-SA"/>
        </w:rPr>
        <mc:AlternateContent>
          <mc:Choice Requires="wps">
            <w:drawing>
              <wp:anchor distT="0" distB="0" distL="114300" distR="114300" simplePos="0" relativeHeight="251663360" behindDoc="0" locked="0" layoutInCell="1" allowOverlap="1" wp14:anchorId="3BD66328" wp14:editId="2AA6D032">
                <wp:simplePos x="0" y="0"/>
                <wp:positionH relativeFrom="column">
                  <wp:posOffset>-399415</wp:posOffset>
                </wp:positionH>
                <wp:positionV relativeFrom="paragraph">
                  <wp:posOffset>175260</wp:posOffset>
                </wp:positionV>
                <wp:extent cx="466725" cy="4667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66725" cy="466725"/>
                        </a:xfrm>
                        <a:prstGeom prst="rect">
                          <a:avLst/>
                        </a:prstGeom>
                        <a:noFill/>
                        <a:ln w="6350">
                          <a:noFill/>
                        </a:ln>
                      </wps:spPr>
                      <wps:txbx>
                        <w:txbxContent>
                          <w:p w:rsidR="00E0010B" w:rsidRPr="00E0010B" w:rsidRDefault="00E0010B" w:rsidP="00E0010B">
                            <w:pPr>
                              <w:rPr>
                                <w:b/>
                                <w:sz w:val="26"/>
                              </w:rPr>
                            </w:pPr>
                            <w:r>
                              <w:rPr>
                                <w:b/>
                                <w:sz w:val="26"/>
                              </w:rPr>
                              <w:t>c</w:t>
                            </w:r>
                            <w:r w:rsidRPr="00E0010B">
                              <w:rPr>
                                <w:b/>
                                <w:sz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D66328" id="Text Box 27" o:spid="_x0000_s1028" type="#_x0000_t202" style="position:absolute;margin-left:-31.45pt;margin-top:13.8pt;width:36.7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" filled="f" stroked="f" strokeweight=".5pt">
                <v:textbox>
                  <w:txbxContent>
                    <w:p w:rsidR="00E0010B" w:rsidRPr="00E0010B" w:rsidRDefault="00E0010B" w:rsidP="00E0010B">
                      <w:pPr>
                        <w:rPr>
                          <w:b/>
                          <w:sz w:val="26"/>
                        </w:rPr>
                      </w:pPr>
                      <w:r>
                        <w:rPr>
                          <w:b/>
                          <w:sz w:val="26"/>
                        </w:rPr>
                        <w:t>c</w:t>
                      </w:r>
                      <w:r w:rsidRPr="00E0010B">
                        <w:rPr>
                          <w:b/>
                          <w:sz w:val="26"/>
                        </w:rPr>
                        <w:t>)</w:t>
                      </w:r>
                    </w:p>
                  </w:txbxContent>
                </v:textbox>
              </v:shape>
            </w:pict>
          </mc:Fallback>
        </mc:AlternateContent>
      </w:r>
    </w:p>
    <w:p w:rsidR="00B75320" w:rsidRDefault="009200ED" w:rsidP="00E0010B">
      <w:r>
        <w:rPr>
          <w:noProof/>
          <w:lang w:eastAsia="en-US" w:bidi="ar-SA"/>
        </w:rPr>
        <w:drawing>
          <wp:inline distT="0" distB="0" distL="0" distR="0" wp14:anchorId="20EB60D8">
            <wp:extent cx="3878095"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0511" cy="1805989"/>
                    </a:xfrm>
                    <a:prstGeom prst="rect">
                      <a:avLst/>
                    </a:prstGeom>
                    <a:noFill/>
                  </pic:spPr>
                </pic:pic>
              </a:graphicData>
            </a:graphic>
          </wp:inline>
        </w:drawing>
      </w:r>
    </w:p>
    <w:p w:rsidR="00E0010B" w:rsidRDefault="00E0010B" w:rsidP="00E0010B">
      <w:pPr>
        <w:widowControl w:val="0"/>
        <w:autoSpaceDE w:val="0"/>
        <w:autoSpaceDN w:val="0"/>
        <w:adjustRightInd w:val="0"/>
        <w:spacing w:line="480" w:lineRule="auto"/>
        <w:rPr>
          <w:b/>
        </w:rPr>
      </w:pPr>
    </w:p>
    <w:p w:rsidR="00E0010B" w:rsidRDefault="00F1041D" w:rsidP="00E0010B">
      <w:pPr>
        <w:widowControl w:val="0"/>
        <w:autoSpaceDE w:val="0"/>
        <w:autoSpaceDN w:val="0"/>
        <w:adjustRightInd w:val="0"/>
        <w:spacing w:line="480" w:lineRule="auto"/>
        <w:rPr>
          <w:noProof/>
          <w:lang w:eastAsia="en-US" w:bidi="ar-SA"/>
        </w:rPr>
      </w:pPr>
      <w:r w:rsidRPr="00F1041D">
        <w:rPr>
          <w:b/>
        </w:rPr>
        <w:lastRenderedPageBreak/>
        <w:t>Figure e-</w:t>
      </w:r>
      <w:r w:rsidR="000C10D5">
        <w:rPr>
          <w:b/>
        </w:rPr>
        <w:t>2</w:t>
      </w:r>
      <w:r w:rsidR="009C307C" w:rsidRPr="009C307C">
        <w:rPr>
          <w:b/>
        </w:rPr>
        <w:t>.</w:t>
      </w:r>
      <w:r w:rsidR="009C307C" w:rsidRPr="000B24D2">
        <w:t xml:space="preserve"> </w:t>
      </w:r>
      <w:r w:rsidR="00E0010B" w:rsidRPr="00A52DB1">
        <w:rPr>
          <w:noProof/>
          <w:lang w:eastAsia="en-US" w:bidi="ar-SA"/>
        </w:rPr>
        <w:t>Location of the mutations and the characterist</w:t>
      </w:r>
      <w:r w:rsidR="00E0010B">
        <w:rPr>
          <w:noProof/>
          <w:lang w:eastAsia="en-US" w:bidi="ar-SA"/>
        </w:rPr>
        <w:t xml:space="preserve">ics of the missense variant. a) </w:t>
      </w:r>
      <w:r w:rsidR="00E0010B" w:rsidRPr="00A52DB1">
        <w:rPr>
          <w:noProof/>
          <w:lang w:eastAsia="en-US" w:bidi="ar-SA"/>
        </w:rPr>
        <w:t xml:space="preserve">Domains and the localization of the mutations within the calpain-1 protein, </w:t>
      </w:r>
      <w:r w:rsidR="00E0010B">
        <w:rPr>
          <w:noProof/>
          <w:lang w:eastAsia="en-US" w:bidi="ar-SA"/>
        </w:rPr>
        <w:t>orange</w:t>
      </w:r>
      <w:r w:rsidR="00E0010B" w:rsidRPr="00A52DB1">
        <w:rPr>
          <w:noProof/>
          <w:lang w:eastAsia="en-US" w:bidi="ar-SA"/>
        </w:rPr>
        <w:t xml:space="preserve">: identified in this study, </w:t>
      </w:r>
      <w:r w:rsidR="00E0010B">
        <w:rPr>
          <w:noProof/>
          <w:lang w:eastAsia="en-US" w:bidi="ar-SA"/>
        </w:rPr>
        <w:t>blue</w:t>
      </w:r>
      <w:r w:rsidR="00E0010B" w:rsidRPr="00A52DB1">
        <w:rPr>
          <w:noProof/>
          <w:lang w:eastAsia="en-US" w:bidi="ar-SA"/>
        </w:rPr>
        <w:t xml:space="preserve">: </w:t>
      </w:r>
      <w:r w:rsidR="00E0010B">
        <w:rPr>
          <w:noProof/>
          <w:lang w:eastAsia="en-US" w:bidi="ar-SA"/>
        </w:rPr>
        <w:t>mutations identified in previous studies</w:t>
      </w:r>
      <w:r w:rsidR="00E0010B">
        <w:rPr>
          <w:noProof/>
          <w:lang w:eastAsia="en-US" w:bidi="ar-SA"/>
        </w:rPr>
        <w:fldChar w:fldCharType="begin" w:fldLock="1"/>
      </w:r>
      <w:r w:rsidR="00E0010B">
        <w:rPr>
          <w:noProof/>
          <w:lang w:eastAsia="en-US" w:bidi="ar-SA"/>
        </w:rPr>
        <w:instrText>ADDIN CSL_CITATION { "citationItems" : [ { "id" : "ITEM-1", "itemData" : { "DOI" : "10.1016/j.ajhg.2016.04.002", "ISSN" : "00029297", "author" : [ { "dropping-particle" : "", "family" : "Gan-Or", "given" : "Ziv", "non-dropping-particle" : "", "parse-names" : false, "suffix" : "" }, { "dropping-particle" : "", "family" : "Bouslam", "given" : "Naima", "non-dropping-particle" : "", "parse-names" : false, "suffix" : "" }, { "dropping-particle" : "", "family" : "Birouk", "given" : "Nazha", "non-dropping-particle" : "", "parse-names" : false, "suffix" : "" }, { "dropping-particle" : "", "family" : "Lissouba", "given" : "Alexandra", "non-dropping-particle" : "", "parse-names" : false, "suffix" : "" }, { "dropping-particle" : "", "family" : "Chambers", "given" : "Daniel\u00a0B.", "non-dropping-particle" : "", "parse-names" : false, "suffix" : "" }, { "dropping-particle" : "", "family" : "V\u00e9ri\u00e8pe", "given" : "Julie", "non-dropping-particle" : "", "parse-names" : false, "suffix" : "" }, { "dropping-particle" : "", "family" : "Androschuk", "given" : "Alaura", "non-dropping-particle" : "", "parse-names" : false, "suffix" : "" }, { "dropping-particle" : "", "family" : "Laurent", "given" : "Sandra\u00a0B.", "non-dropping-particle" : "", "parse-names" : false, "suffix" : "" }, { "dropping-particle" : "", "family" : "Rochefort", "given" : "Daniel", "non-dropping-particle" : "", "parse-names" : false, "suffix" : "" }, { "dropping-particle" : "", "family" : "Spiegelman", "given" : "Dan", "non-dropping-particle" : "", "parse-names" : false, "suffix" : "" }, { "dropping-particle" : "", "family" : "Dionne-Laporte", "given" : "Alexandre", "non-dropping-particle" : "", "parse-names" : false, "suffix" : "" }, { "dropping-particle" : "", "family" : "Szuto", "given" : "Anna", "non-dropping-particle" : "", "parse-names" : false, "suffix" : "" }, { "dropping-particle" : "", "family" : "Liao", "given" : "Meijiang", "non-dropping-particle" : "", "parse-names" : false, "suffix" : "" }, { "dropping-particle" : "", "family" : "Figlewicz", "given" : "Denise\u00a0A.", "non-dropping-particle" : "", "parse-names" : false, "suffix" : "" }, { "dropping-particle" : "", "family" : "Bouhouche", "given" : "Ahmed", "non-dropping-particle" : "", "parse-names" : false, "suffix" : "" }, { "dropping-particle" : "", "family" : "Benomar", "given" : "Ali", "non-dropping-particle" : "", "parse-names" : false, "suffix" : "" }, { "dropping-particle" : "", "family" : "Yahyaoui", "given" : "Mohamed", "non-dropping-particle" : "", "parse-names" : false, "suffix" : "" }, { "dropping-particle" : "", "family" : "Ouazzani", "given" : "Reda", "non-dropping-particle" : "", "parse-names" : false, "suffix" : "" }, { "dropping-particle" : "", "family" : "Yoon", "given" : "Grace", "non-dropping-particle" : "", "parse-names" : false, "suffix" : "" }, { "dropping-particle" : "", "family" : "Dupr\u00e9", "given" : "Nicolas", "non-dropping-particle" : "", "parse-names" : false, "suffix" : "" }, { "dropping-particle" : "", "family" : "Suchowersky", "given" : "Oksana", "non-dropping-particle" : "", "parse-names" : false, "suffix" : "" }, { "dropping-particle" : "", "family" : "Bolduc", "given" : "Francois\u00a0V.", "non-dropping-particle" : "", "parse-names" : false, "suffix" : "" }, { "dropping-particle" : "", "family" : "Parker", "given" : "J.\u00a0Alex", "non-dropping-particle" : "", "parse-names" : false, "suffix" : "" }, { "dropping-particle" : "", "family" : "Dion", "given" : "Patrick\u00a0A.", "non-dropping-particle" : "", "parse-names" : false, "suffix" : "" }, { "dropping-particle" : "", "family" : "Drapeau", "given" : "Pierre", "non-dropping-particle" : "", "parse-names" : false, "suffix" : "" }, { "dropping-particle" : "", "family" : "Rouleau", "given" : "Guy\u00a0A.", "non-dropping-particle" : "", "parse-names" : false, "suffix" : "" }, { "dropping-particle" : "", "family" : "Ouled\u00a0Amar\u00a0Bencheikh", "given" : "Bouchra", "non-dropping-particle" : "", "parse-names" : false, "suffix" : "" } ], "container-title" : "The American Journal of Human Genetics", "id" : "ITEM-1", "issue" : "5", "issued" : { "date-parts" : [ [ "2016" ] ] }, "page" : "1038-1046", "title" : "Mutations in CAPN1 Cause Autosomal-Recessive Hereditary Spastic Paraplegia", "type" : "article-journal", "volume" : "98" }, "uris" : [ "http://www.mendeley.com/documents/?uuid=deae7a16-a248-4dca-ab78-462065d9068b" ] }, { "id" : "ITEM-2", "itemData" : { "DOI" : "10.1016/j.celrep.2016.05.044", "ISSN" : "2211-1247", "PMID" : "27320912", "abstract" : "A CAPN1 missense mutation in Parson Russell Terrier dogs is associated with spinocerebellar ataxia. We now report that homozygous or heterozygous CAPN1-null mutations in humans result in cerebellar ataxia and limb spasticity in four independent pedigrees. Calpain-1 knockout (KO) mice also exhibit a mild form of ataxia due to abnormal cerebellar development, including enhanced neuronal apoptosis, decreased number of cerebellar granule cells, and altered synaptic transmission. Enhanced apoptosis is due to absence of calpain-1-mediated cleavage of PH domain and leucine-rich repeat protein phosphatase 1 (PHLPP1), which results in inhibition of the Akt pro-survival pathway in developing granule cells. Injection of neonatal mice with the indirect Akt activator, bisperoxovanadium, or crossing calpain-1 KO mice with PHLPP1 KO mice prevented increased postnatal cerebellar granule cell apoptosis and restored granule cell density and motor coordination in adult mice. Thus, mutations in CAPN1 are an additional cause of ataxia in mammals, including humans.", "author" : [ { "dropping-particle" : "", "family" : "Wang", "given" : "Yubin", "non-dropping-particle" : "", "parse-names" : false, "suffix" : "" }, { "dropping-particle" : "", "family" : "Hersheson", "given" : "Joshua", "non-dropping-particle" : "", "parse-names" : false, "suffix" : "" }, { "dropping-particle" : "", "family" : "Lopez", "given" : "Dulce", "non-dropping-particle" : "", "parse-names" : false, "suffix" : "" }, { "dropping-particle" : "", "family" : "Hammer", "given" : "Monia", "non-dropping-particle" : "", "parse-names" : false, "suffix" : "" }, { "dropping-particle" : "", "family" : "Liu", "given" : "Yan", "non-dropping-particle" : "", "parse-names" : false, "suffix" : "" }, { "dropping-particle" : "", "family" : "Lee", "given" : "Ka-Hung", "non-dropping-particle" : "", "parse-names" : false, "suffix" : "" }, { "dropping-particle" : "", "family" : "Pinto", "given" : "Vanessa", "non-dropping-particle" : "", "parse-names" : false, "suffix" : "" }, { "dropping-particle" : "", "family" : "Seinfeld", "given" : "Jeff", "non-dropping-particle" : "", "parse-names" : false, "suffix" : "" }, { "dropping-particle" : "", "family" : "Wiethoff", "given" : "Sarah", "non-dropping-particle" : "", "parse-names" : false, "suffix" : "" }, { "dropping-particle" : "", "family" : "Sun", "given" : "Jiandong", "non-dropping-particle" : "", "parse-names" : false, "suffix" : "" }, { "dropping-particle" : "", "family" : "Amouri", "given" : "Rim", "non-dropping-particle" : "", "parse-names" : false, "suffix" : "" }, { "dropping-particle" : "", "family" : "Hentati", "given" : "Faycal", "non-dropping-particle" : "", "parse-names" : false, "suffix" : "" }, { "dropping-particle" : "", "family" : "Baudry", "given" : "Neema", "non-dropping-particle" : "", "parse-names" : false, "suffix" : "" }, { "dropping-particle" : "", "family" : "Tran", "given" : "Jennifer", "non-dropping-particle" : "", "parse-names" : false, "suffix" : "" }, { "dropping-particle" : "", "family" : "Singleton", "given" : "Andrew B.", "non-dropping-particle" : "", "parse-names" : false, "suffix" : "" }, { "dropping-particle" : "", "family" : "Coutelier", "given" : "Marie", "non-dropping-particle" : "", "parse-names" : false, "suffix" : "" }, { "dropping-particle" : "", "family" : "Brice", "given" : "Alexis", "non-dropping-particle" : "", "parse-names" : false, "suffix" : "" }, { "dropping-particle" : "", "family" : "Stevanin", "given" : "Giovanni", "non-dropping-particle" : "", "parse-names" : false, "suffix" : "" }, { "dropping-particle" : "", "family" : "Durr", "given" : "Alexandra", "non-dropping-particle" : "", "parse-names" : false, "suffix" : "" }, { "dropping-particle" : "", "family" : "Bi", "given" : "Xiaoning", "non-dropping-particle" : "", "parse-names" : false, "suffix" : "" }, { "dropping-particle" : "", "family" : "Houlden", "given" : "Henry", "non-dropping-particle" : "", "parse-names" : false, "suffix" : "" }, { "dropping-particle" : "", "family" : "Baudry", "given" : "Michel", "non-dropping-particle" : "", "parse-names" : false, "suffix" : "" } ], "container-title" : "Cell reports", "id" : "ITEM-2", "issue" : "1", "issued" : { "date-parts" : [ [ "2016" ] ] }, "page" : "79-91", "publisher" : "ElsevierCompany.", "title" : "Defects in the CAPN1 Gene Result in Alterations in Cerebellar Development and Cerebellar Ataxia in Mice and Humans.", "type" : "article-journal", "volume" : "16" }, "uris" : [ "http://www.mendeley.com/documents/?uuid=b23fca0c-86a4-41e3-9a90-219217685b98" ] }, { "id" : "ITEM-3", "itemData" : { "DOI" : "10.1007/s00415-017-8464-5", "ISSN" : "14321459", "PMID" : "28321562", "author" : [ { "dropping-particle" : "", "family" : "Tadic", "given" : "Vera", "non-dropping-particle" : "", "parse-names" : false, "suffix" : "" }, { "dropping-particle" : "", "family" : "Klein", "given" : "Christine", "non-dropping-particle" : "", "parse-names" : false, "suffix" : "" }, { "dropping-particle" : "", "family" : "Hinrichs", "given" : "Frauke", "non-dropping-particle" : "", "parse-names" : false, "suffix" : "" }, { "dropping-particle" : "", "family" : "M\u00fcnchau", "given" : "Alexander", "non-dropping-particle" : "", "parse-names" : false, "suffix" : "" }, { "dropping-particle" : "", "family" : "Lohmann", "given" : "Katja", "non-dropping-particle" : "", "parse-names" : false, "suffix" : "" }, { "dropping-particle" : "", "family" : "Br\u00fcggemann", "given" : "Norbert", "non-dropping-particle" : "", "parse-names" : false, "suffix" : "" } ], "container-title" : "Journal of Neurology", "id" : "ITEM-3", "issue" : "5", "issued" : { "date-parts" : [ [ "2017" ] ] }, "page" : "1008-1010", "title" : "CAPN1 mutations are associated with a syndrome of combined spasticity and ataxia", "type" : "article-journal", "volume" : "264" }, "uris" : [ "http://www.mendeley.com/documents/?uuid=ae5847f9-2ed2-4d00-8750-b0c8217f0e24" ] }, { "id" : "ITEM-4", "itemData" : { "DOI" : "10.1016/j.jns.2017.05.014", "ISSN" : "0022510X", "author" : [ { "dropping-particle" : "", "family" : "Travaglini", "given" : "Lorena", "non-dropping-particle" : "", "parse-names" : false, "suffix" : "" }, { "dropping-particle" : "", "family" : "Bellacchio", "given" : "Emanuele", "non-dropping-particle" : "", "parse-names" : false, "suffix" : "" }, { "dropping-particle" : "", "family" : "Aiello", "given" : "Chiara", "non-dropping-particle" : "", "parse-names" : false, "suffix" : "" }, { "dropping-particle" : "", "family" : "Pro", "given" : "Stefano", "non-dropping-particle" : "", "parse-names" : false, "suffix" : "" }, { "dropping-particle" : "", "family" : "Bertini", "given" : "Enrico", "non-dropping-particle" : "", "parse-names" : false, "suffix" : "" }, { "dropping-particle" : "", "family" : "Nicita", "given" : "Francesco", "non-dropping-particle" : "", "parse-names" : false, "suffix" : "" } ], "container-title" : "Journal of the Neurological Sciences", "id" : "ITEM-4", "issued" : { "date-parts" : [ [ "2017" ] ] }, "page" : "210-212", "title" : "Expanding the clinical phenotype of CAPN1- associated mutations: A new case with congenital-onset pure spastic paraplegia", "type" : "article-journal", "volume" : "378" }, "uris" : [ "http://www.mendeley.com/documents/?uuid=ff9e6934-e4ae-40e8-a85d-4fdb918751e1" ] }, { "id" : "ITEM-5", "itemData" : { "DOI" : "10.1038/ejhg.2016.42", "ISSN" : "1018-4813", "PMID" : "27165006", "author" : [ { "dropping-particle" : "", "family" : "Warrenburg", "given" : "Bart P", "non-dropping-particle" : "van de", "parse-names" : false, "suffix" : "" }, { "dropping-particle" : "", "family" : "Schouten", "given" : "Meyke I", "non-dropping-particle" : "", "parse-names" : false, "suffix" : "" }, { "dropping-particle" : "", "family" : "Bot", "given" : "Susanne T", "non-dropping-particle" : "de", "parse-names" : false, "suffix" : "" }, { "dropping-particle" : "", "family" : "Vermeer", "given" : "Sascha", "non-dropping-particle" : "", "parse-names" : false, "suffix" : "" }, { "dropping-particle" : "", "family" : "Meijer", "given" : "Rowdy", "non-dropping-particle" : "", "parse-names" : false, "suffix" : "" }, { "dropping-particle" : "", "family" : "Pennings", "given" : "Maartje", "non-dropping-particle" : "", "parse-names" : false, "suffix" : "" }, { "dropping-particle" : "", "family" : "Gilissen", "given" : "Christian", "non-dropping-particle" : "", "parse-names" : false, "suffix" : "" }, { "dropping-particle" : "", "family" : "Willemsen", "given" : "Mich\u00e8l AAP", "non-dropping-particle" : "", "parse-names" : false, "suffix" : "" }, { "dropping-particle" : "", "family" : "Scheffer", "given" : "Hans", "non-dropping-particle" : "", "parse-names" : false, "suffix" : "" }, { "dropping-particle" : "", "family" : "Kamsteeg", "given" : "Erik-Jan", "non-dropping-particle" : "", "parse-names" : false, "suffix" : "" } ], "container-title" : "European Journal of Human Genetics", "id" : "ITEM-5", "issue" : "April", "issued" : { "date-parts" : [ [ "2016", "10", "11" ] ] }, "page" : "1-7", "publisher" : "Nature Publishing Group", "title" : "Clinical exome sequencing for cerebellar ataxia and spastic paraplegia uncovers novel gene\u2013disease associations and unanticipated rare disorders", "type" : "article-journal", "volume" : "24" }, "uris" : [ "http://www.mendeley.com/documents/?uuid=29737cb2-f985-43d9-bee1-3ebd6e544a4d" ] } ], "mendeley" : { "formattedCitation" : "&lt;sup&gt;1\u20135&lt;/sup&gt;", "plainTextFormattedCitation" : "1\u20135", "previouslyFormattedCitation" : "&lt;sup&gt;1\u20135&lt;/sup&gt;" }, "properties" : { "noteIndex" : 0 }, "schema" : "https://github.com/citation-style-language/schema/raw/master/csl-citation.json" }</w:instrText>
      </w:r>
      <w:r w:rsidR="00E0010B">
        <w:rPr>
          <w:noProof/>
          <w:lang w:eastAsia="en-US" w:bidi="ar-SA"/>
        </w:rPr>
        <w:fldChar w:fldCharType="separate"/>
      </w:r>
      <w:r w:rsidR="00E0010B" w:rsidRPr="00E0010B">
        <w:rPr>
          <w:noProof/>
          <w:vertAlign w:val="superscript"/>
          <w:lang w:eastAsia="en-US" w:bidi="ar-SA"/>
        </w:rPr>
        <w:t>1–5</w:t>
      </w:r>
      <w:r w:rsidR="00E0010B">
        <w:rPr>
          <w:noProof/>
          <w:lang w:eastAsia="en-US" w:bidi="ar-SA"/>
        </w:rPr>
        <w:fldChar w:fldCharType="end"/>
      </w:r>
      <w:r w:rsidR="00966E6B">
        <w:rPr>
          <w:noProof/>
          <w:lang w:eastAsia="en-US" w:bidi="ar-SA"/>
        </w:rPr>
        <w:t>, *: compound heterozygous</w:t>
      </w:r>
      <w:r w:rsidR="00C634F0">
        <w:rPr>
          <w:noProof/>
          <w:lang w:eastAsia="en-US" w:bidi="ar-SA"/>
        </w:rPr>
        <w:t xml:space="preserve"> mutations</w:t>
      </w:r>
      <w:r w:rsidR="00E0010B">
        <w:rPr>
          <w:noProof/>
          <w:lang w:eastAsia="en-US" w:bidi="ar-SA"/>
        </w:rPr>
        <w:t xml:space="preserve"> b</w:t>
      </w:r>
      <w:r w:rsidR="00E0010B" w:rsidRPr="00A52DB1">
        <w:rPr>
          <w:noProof/>
          <w:lang w:eastAsia="en-US" w:bidi="ar-SA"/>
        </w:rPr>
        <w:t>) Three-dimensional model of calpain-1 and the location of the Gly332Arg substitu</w:t>
      </w:r>
      <w:bookmarkStart w:id="0" w:name="_GoBack"/>
      <w:bookmarkEnd w:id="0"/>
      <w:r w:rsidR="00E0010B" w:rsidRPr="00A52DB1">
        <w:rPr>
          <w:noProof/>
          <w:lang w:eastAsia="en-US" w:bidi="ar-SA"/>
        </w:rPr>
        <w:t>tion in proximity to the active site Asn296 (PDB: 2ARY).</w:t>
      </w:r>
      <w:r w:rsidR="00E0010B">
        <w:rPr>
          <w:noProof/>
          <w:lang w:eastAsia="en-US" w:bidi="ar-SA"/>
        </w:rPr>
        <w:t xml:space="preserve"> </w:t>
      </w:r>
      <w:r w:rsidR="00E0010B" w:rsidRPr="00A52DB1">
        <w:rPr>
          <w:noProof/>
          <w:lang w:eastAsia="en-US" w:bidi="ar-SA"/>
        </w:rPr>
        <w:t>c) Multiple sequence alignment and conservation of Gly332 in different species.</w:t>
      </w:r>
    </w:p>
    <w:p w:rsidR="00E0010B" w:rsidRDefault="00E0010B" w:rsidP="00E0010B">
      <w:pPr>
        <w:widowControl w:val="0"/>
        <w:autoSpaceDE w:val="0"/>
        <w:autoSpaceDN w:val="0"/>
        <w:adjustRightInd w:val="0"/>
        <w:spacing w:line="480" w:lineRule="auto"/>
        <w:rPr>
          <w:noProof/>
          <w:lang w:eastAsia="en-US" w:bidi="ar-SA"/>
        </w:rPr>
      </w:pPr>
    </w:p>
    <w:p w:rsidR="00E0010B" w:rsidRDefault="00E0010B" w:rsidP="00E0010B">
      <w:pPr>
        <w:widowControl w:val="0"/>
        <w:autoSpaceDE w:val="0"/>
        <w:autoSpaceDN w:val="0"/>
        <w:adjustRightInd w:val="0"/>
        <w:spacing w:line="480" w:lineRule="auto"/>
        <w:rPr>
          <w:b/>
          <w:noProof/>
          <w:lang w:eastAsia="en-US" w:bidi="ar-SA"/>
        </w:rPr>
      </w:pPr>
      <w:r>
        <w:rPr>
          <w:b/>
          <w:noProof/>
          <w:lang w:eastAsia="en-US" w:bidi="ar-SA"/>
        </w:rPr>
        <w:t>References</w:t>
      </w:r>
    </w:p>
    <w:p w:rsidR="00E0010B" w:rsidRPr="00E0010B" w:rsidRDefault="00E0010B" w:rsidP="00E0010B">
      <w:pPr>
        <w:widowControl w:val="0"/>
        <w:autoSpaceDE w:val="0"/>
        <w:autoSpaceDN w:val="0"/>
        <w:adjustRightInd w:val="0"/>
        <w:spacing w:line="480" w:lineRule="auto"/>
        <w:ind w:left="640" w:hanging="640"/>
        <w:rPr>
          <w:rFonts w:cs="Times New Roman"/>
          <w:noProof/>
        </w:rPr>
      </w:pPr>
      <w:r>
        <w:rPr>
          <w:noProof/>
          <w:lang w:eastAsia="en-US" w:bidi="ar-SA"/>
        </w:rPr>
        <w:fldChar w:fldCharType="begin" w:fldLock="1"/>
      </w:r>
      <w:r>
        <w:rPr>
          <w:noProof/>
          <w:lang w:eastAsia="en-US" w:bidi="ar-SA"/>
        </w:rPr>
        <w:instrText xml:space="preserve">ADDIN Mendeley Bibliography CSL_BIBLIOGRAPHY </w:instrText>
      </w:r>
      <w:r>
        <w:rPr>
          <w:noProof/>
          <w:lang w:eastAsia="en-US" w:bidi="ar-SA"/>
        </w:rPr>
        <w:fldChar w:fldCharType="separate"/>
      </w:r>
      <w:r w:rsidRPr="00E0010B">
        <w:rPr>
          <w:rFonts w:cs="Times New Roman"/>
          <w:noProof/>
        </w:rPr>
        <w:t>1.</w:t>
      </w:r>
      <w:r w:rsidRPr="00E0010B">
        <w:rPr>
          <w:rFonts w:cs="Times New Roman"/>
          <w:noProof/>
        </w:rPr>
        <w:tab/>
        <w:t xml:space="preserve">Gan-Or, Z. </w:t>
      </w:r>
      <w:r w:rsidRPr="00E0010B">
        <w:rPr>
          <w:rFonts w:cs="Times New Roman"/>
          <w:i/>
          <w:iCs/>
          <w:noProof/>
        </w:rPr>
        <w:t>et al.</w:t>
      </w:r>
      <w:r w:rsidRPr="00E0010B">
        <w:rPr>
          <w:rFonts w:cs="Times New Roman"/>
          <w:noProof/>
        </w:rPr>
        <w:t xml:space="preserve"> Mutations in CAPN1 Cause Autosomal-Recessive Hereditary Spastic Paraplegia. </w:t>
      </w:r>
      <w:r w:rsidRPr="00E0010B">
        <w:rPr>
          <w:rFonts w:cs="Times New Roman"/>
          <w:i/>
          <w:iCs/>
          <w:noProof/>
        </w:rPr>
        <w:t>Am. J. Hum. Genet.</w:t>
      </w:r>
      <w:r w:rsidRPr="00E0010B">
        <w:rPr>
          <w:rFonts w:cs="Times New Roman"/>
          <w:noProof/>
        </w:rPr>
        <w:t xml:space="preserve"> </w:t>
      </w:r>
      <w:r w:rsidRPr="00E0010B">
        <w:rPr>
          <w:rFonts w:cs="Times New Roman"/>
          <w:b/>
          <w:bCs/>
          <w:noProof/>
        </w:rPr>
        <w:t>98,</w:t>
      </w:r>
      <w:r w:rsidRPr="00E0010B">
        <w:rPr>
          <w:rFonts w:cs="Times New Roman"/>
          <w:noProof/>
        </w:rPr>
        <w:t xml:space="preserve"> 1038–1046 (2016).</w:t>
      </w:r>
    </w:p>
    <w:p w:rsidR="00E0010B" w:rsidRPr="00E0010B" w:rsidRDefault="00E0010B" w:rsidP="00E0010B">
      <w:pPr>
        <w:widowControl w:val="0"/>
        <w:autoSpaceDE w:val="0"/>
        <w:autoSpaceDN w:val="0"/>
        <w:adjustRightInd w:val="0"/>
        <w:spacing w:line="480" w:lineRule="auto"/>
        <w:ind w:left="640" w:hanging="640"/>
        <w:rPr>
          <w:rFonts w:cs="Times New Roman"/>
          <w:noProof/>
        </w:rPr>
      </w:pPr>
      <w:r w:rsidRPr="00E0010B">
        <w:rPr>
          <w:rFonts w:cs="Times New Roman"/>
          <w:noProof/>
        </w:rPr>
        <w:t>2.</w:t>
      </w:r>
      <w:r w:rsidRPr="00E0010B">
        <w:rPr>
          <w:rFonts w:cs="Times New Roman"/>
          <w:noProof/>
        </w:rPr>
        <w:tab/>
        <w:t xml:space="preserve">Wang, Y. </w:t>
      </w:r>
      <w:r w:rsidRPr="00E0010B">
        <w:rPr>
          <w:rFonts w:cs="Times New Roman"/>
          <w:i/>
          <w:iCs/>
          <w:noProof/>
        </w:rPr>
        <w:t>et al.</w:t>
      </w:r>
      <w:r w:rsidRPr="00E0010B">
        <w:rPr>
          <w:rFonts w:cs="Times New Roman"/>
          <w:noProof/>
        </w:rPr>
        <w:t xml:space="preserve"> Defects in the CAPN1 Gene Result in Alterations in Cerebellar Development and Cerebellar Ataxia in Mice and Humans. </w:t>
      </w:r>
      <w:r w:rsidRPr="00E0010B">
        <w:rPr>
          <w:rFonts w:cs="Times New Roman"/>
          <w:i/>
          <w:iCs/>
          <w:noProof/>
        </w:rPr>
        <w:t>Cell Rep.</w:t>
      </w:r>
      <w:r w:rsidRPr="00E0010B">
        <w:rPr>
          <w:rFonts w:cs="Times New Roman"/>
          <w:noProof/>
        </w:rPr>
        <w:t xml:space="preserve"> </w:t>
      </w:r>
      <w:r w:rsidRPr="00E0010B">
        <w:rPr>
          <w:rFonts w:cs="Times New Roman"/>
          <w:b/>
          <w:bCs/>
          <w:noProof/>
        </w:rPr>
        <w:t>16,</w:t>
      </w:r>
      <w:r w:rsidRPr="00E0010B">
        <w:rPr>
          <w:rFonts w:cs="Times New Roman"/>
          <w:noProof/>
        </w:rPr>
        <w:t xml:space="preserve"> 79–91 (2016).</w:t>
      </w:r>
    </w:p>
    <w:p w:rsidR="00E0010B" w:rsidRPr="00E0010B" w:rsidRDefault="00E0010B" w:rsidP="00E0010B">
      <w:pPr>
        <w:widowControl w:val="0"/>
        <w:autoSpaceDE w:val="0"/>
        <w:autoSpaceDN w:val="0"/>
        <w:adjustRightInd w:val="0"/>
        <w:spacing w:line="480" w:lineRule="auto"/>
        <w:ind w:left="640" w:hanging="640"/>
        <w:rPr>
          <w:rFonts w:cs="Times New Roman"/>
          <w:noProof/>
        </w:rPr>
      </w:pPr>
      <w:r w:rsidRPr="00E0010B">
        <w:rPr>
          <w:rFonts w:cs="Times New Roman"/>
          <w:noProof/>
        </w:rPr>
        <w:t>3.</w:t>
      </w:r>
      <w:r w:rsidRPr="00E0010B">
        <w:rPr>
          <w:rFonts w:cs="Times New Roman"/>
          <w:noProof/>
        </w:rPr>
        <w:tab/>
        <w:t xml:space="preserve">Tadic, V. </w:t>
      </w:r>
      <w:r w:rsidRPr="00E0010B">
        <w:rPr>
          <w:rFonts w:cs="Times New Roman"/>
          <w:i/>
          <w:iCs/>
          <w:noProof/>
        </w:rPr>
        <w:t>et al.</w:t>
      </w:r>
      <w:r w:rsidRPr="00E0010B">
        <w:rPr>
          <w:rFonts w:cs="Times New Roman"/>
          <w:noProof/>
        </w:rPr>
        <w:t xml:space="preserve"> CAPN1 mutations are associated with a syndrome of combined spasticity and ataxia. </w:t>
      </w:r>
      <w:r w:rsidRPr="00E0010B">
        <w:rPr>
          <w:rFonts w:cs="Times New Roman"/>
          <w:i/>
          <w:iCs/>
          <w:noProof/>
        </w:rPr>
        <w:t>J. Neurol.</w:t>
      </w:r>
      <w:r w:rsidRPr="00E0010B">
        <w:rPr>
          <w:rFonts w:cs="Times New Roman"/>
          <w:noProof/>
        </w:rPr>
        <w:t xml:space="preserve"> </w:t>
      </w:r>
      <w:r w:rsidRPr="00E0010B">
        <w:rPr>
          <w:rFonts w:cs="Times New Roman"/>
          <w:b/>
          <w:bCs/>
          <w:noProof/>
        </w:rPr>
        <w:t>264,</w:t>
      </w:r>
      <w:r w:rsidRPr="00E0010B">
        <w:rPr>
          <w:rFonts w:cs="Times New Roman"/>
          <w:noProof/>
        </w:rPr>
        <w:t xml:space="preserve"> 1008–1010 (2017).</w:t>
      </w:r>
    </w:p>
    <w:p w:rsidR="00E0010B" w:rsidRPr="00966E6B" w:rsidRDefault="00E0010B" w:rsidP="00E0010B">
      <w:pPr>
        <w:widowControl w:val="0"/>
        <w:autoSpaceDE w:val="0"/>
        <w:autoSpaceDN w:val="0"/>
        <w:adjustRightInd w:val="0"/>
        <w:spacing w:line="480" w:lineRule="auto"/>
        <w:ind w:left="640" w:hanging="640"/>
        <w:rPr>
          <w:rFonts w:cs="Times New Roman"/>
          <w:noProof/>
          <w:lang w:val="fr-BE"/>
        </w:rPr>
      </w:pPr>
      <w:r w:rsidRPr="00E0010B">
        <w:rPr>
          <w:rFonts w:cs="Times New Roman"/>
          <w:noProof/>
        </w:rPr>
        <w:t>4.</w:t>
      </w:r>
      <w:r w:rsidRPr="00E0010B">
        <w:rPr>
          <w:rFonts w:cs="Times New Roman"/>
          <w:noProof/>
        </w:rPr>
        <w:tab/>
        <w:t xml:space="preserve">Travaglini, L. </w:t>
      </w:r>
      <w:r w:rsidRPr="00E0010B">
        <w:rPr>
          <w:rFonts w:cs="Times New Roman"/>
          <w:i/>
          <w:iCs/>
          <w:noProof/>
        </w:rPr>
        <w:t>et al.</w:t>
      </w:r>
      <w:r w:rsidRPr="00E0010B">
        <w:rPr>
          <w:rFonts w:cs="Times New Roman"/>
          <w:noProof/>
        </w:rPr>
        <w:t xml:space="preserve"> Expanding the clinical phenotype of CAPN1- associated mutations: A new case with congenital-onset pure spastic paraplegia. </w:t>
      </w:r>
      <w:r w:rsidRPr="00966E6B">
        <w:rPr>
          <w:rFonts w:cs="Times New Roman"/>
          <w:i/>
          <w:iCs/>
          <w:noProof/>
          <w:lang w:val="fr-BE"/>
        </w:rPr>
        <w:t>J. Neurol. Sci.</w:t>
      </w:r>
      <w:r w:rsidRPr="00966E6B">
        <w:rPr>
          <w:rFonts w:cs="Times New Roman"/>
          <w:noProof/>
          <w:lang w:val="fr-BE"/>
        </w:rPr>
        <w:t xml:space="preserve"> </w:t>
      </w:r>
      <w:r w:rsidRPr="00966E6B">
        <w:rPr>
          <w:rFonts w:cs="Times New Roman"/>
          <w:b/>
          <w:bCs/>
          <w:noProof/>
          <w:lang w:val="fr-BE"/>
        </w:rPr>
        <w:t>378,</w:t>
      </w:r>
      <w:r w:rsidRPr="00966E6B">
        <w:rPr>
          <w:rFonts w:cs="Times New Roman"/>
          <w:noProof/>
          <w:lang w:val="fr-BE"/>
        </w:rPr>
        <w:t xml:space="preserve"> 210–212 (2017).</w:t>
      </w:r>
    </w:p>
    <w:p w:rsidR="00E0010B" w:rsidRPr="00E0010B" w:rsidRDefault="00E0010B" w:rsidP="00E0010B">
      <w:pPr>
        <w:widowControl w:val="0"/>
        <w:autoSpaceDE w:val="0"/>
        <w:autoSpaceDN w:val="0"/>
        <w:adjustRightInd w:val="0"/>
        <w:spacing w:line="480" w:lineRule="auto"/>
        <w:ind w:left="640" w:hanging="640"/>
        <w:rPr>
          <w:noProof/>
        </w:rPr>
      </w:pPr>
      <w:r w:rsidRPr="00966E6B">
        <w:rPr>
          <w:rFonts w:cs="Times New Roman"/>
          <w:noProof/>
          <w:lang w:val="fr-BE"/>
        </w:rPr>
        <w:t>5.</w:t>
      </w:r>
      <w:r w:rsidRPr="00966E6B">
        <w:rPr>
          <w:rFonts w:cs="Times New Roman"/>
          <w:noProof/>
          <w:lang w:val="fr-BE"/>
        </w:rPr>
        <w:tab/>
        <w:t xml:space="preserve">van de Warrenburg, B. P. </w:t>
      </w:r>
      <w:r w:rsidRPr="00966E6B">
        <w:rPr>
          <w:rFonts w:cs="Times New Roman"/>
          <w:i/>
          <w:iCs/>
          <w:noProof/>
          <w:lang w:val="fr-BE"/>
        </w:rPr>
        <w:t>et al.</w:t>
      </w:r>
      <w:r w:rsidRPr="00966E6B">
        <w:rPr>
          <w:rFonts w:cs="Times New Roman"/>
          <w:noProof/>
          <w:lang w:val="fr-BE"/>
        </w:rPr>
        <w:t xml:space="preserve"> </w:t>
      </w:r>
      <w:r w:rsidRPr="00E0010B">
        <w:rPr>
          <w:rFonts w:cs="Times New Roman"/>
          <w:noProof/>
        </w:rPr>
        <w:t xml:space="preserve">Clinical exome sequencing for cerebellar ataxia and spastic paraplegia uncovers novel gene–disease associations and unanticipated rare disorders. </w:t>
      </w:r>
      <w:r w:rsidRPr="00E0010B">
        <w:rPr>
          <w:rFonts w:cs="Times New Roman"/>
          <w:i/>
          <w:iCs/>
          <w:noProof/>
        </w:rPr>
        <w:t>Eur. J. Hum. Genet.</w:t>
      </w:r>
      <w:r w:rsidRPr="00E0010B">
        <w:rPr>
          <w:rFonts w:cs="Times New Roman"/>
          <w:noProof/>
        </w:rPr>
        <w:t xml:space="preserve"> </w:t>
      </w:r>
      <w:r w:rsidRPr="00E0010B">
        <w:rPr>
          <w:rFonts w:cs="Times New Roman"/>
          <w:b/>
          <w:bCs/>
          <w:noProof/>
        </w:rPr>
        <w:t>24,</w:t>
      </w:r>
      <w:r w:rsidRPr="00E0010B">
        <w:rPr>
          <w:rFonts w:cs="Times New Roman"/>
          <w:noProof/>
        </w:rPr>
        <w:t xml:space="preserve"> 1–7 (2016).</w:t>
      </w:r>
    </w:p>
    <w:p w:rsidR="00E0010B" w:rsidRPr="00E0010B" w:rsidRDefault="00E0010B" w:rsidP="00E0010B">
      <w:pPr>
        <w:widowControl w:val="0"/>
        <w:autoSpaceDE w:val="0"/>
        <w:autoSpaceDN w:val="0"/>
        <w:adjustRightInd w:val="0"/>
        <w:spacing w:line="480" w:lineRule="auto"/>
        <w:rPr>
          <w:noProof/>
          <w:lang w:eastAsia="en-US" w:bidi="ar-SA"/>
        </w:rPr>
      </w:pPr>
      <w:r>
        <w:rPr>
          <w:noProof/>
          <w:lang w:eastAsia="en-US" w:bidi="ar-SA"/>
        </w:rPr>
        <w:fldChar w:fldCharType="end"/>
      </w:r>
    </w:p>
    <w:p w:rsidR="009C307C" w:rsidRPr="009C307C" w:rsidRDefault="009C307C" w:rsidP="00E0010B">
      <w:pPr>
        <w:pStyle w:val="Caption"/>
      </w:pPr>
    </w:p>
    <w:p w:rsidR="009C307C" w:rsidRDefault="009C307C" w:rsidP="00E0010B">
      <w:pPr>
        <w:tabs>
          <w:tab w:val="left" w:pos="1785"/>
        </w:tabs>
      </w:pPr>
    </w:p>
    <w:p w:rsidR="009C307C" w:rsidRPr="009C307C" w:rsidRDefault="009C307C" w:rsidP="00E0010B">
      <w:pPr>
        <w:tabs>
          <w:tab w:val="left" w:pos="1785"/>
        </w:tabs>
      </w:pPr>
      <w:r>
        <w:tab/>
      </w:r>
    </w:p>
    <w:p w:rsidR="009C307C" w:rsidRPr="009C307C" w:rsidRDefault="009C307C" w:rsidP="00E0010B"/>
    <w:p w:rsidR="009C307C" w:rsidRPr="009C307C" w:rsidRDefault="009C307C" w:rsidP="00E0010B"/>
    <w:p w:rsidR="009C307C" w:rsidRPr="009C307C" w:rsidRDefault="009C307C" w:rsidP="00E0010B"/>
    <w:sectPr w:rsidR="009C307C" w:rsidRPr="009C30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7C"/>
    <w:rsid w:val="000C10D5"/>
    <w:rsid w:val="00160187"/>
    <w:rsid w:val="002402C0"/>
    <w:rsid w:val="003361F6"/>
    <w:rsid w:val="003B787E"/>
    <w:rsid w:val="005E7A01"/>
    <w:rsid w:val="009200ED"/>
    <w:rsid w:val="00966E6B"/>
    <w:rsid w:val="009C307C"/>
    <w:rsid w:val="00B10BBD"/>
    <w:rsid w:val="00B75320"/>
    <w:rsid w:val="00C634F0"/>
    <w:rsid w:val="00E0010B"/>
    <w:rsid w:val="00F1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6DF5"/>
  <w15:chartTrackingRefBased/>
  <w15:docId w15:val="{4AA92390-4769-40DA-BD7D-330A80A9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7C"/>
    <w:pPr>
      <w:spacing w:after="0" w:line="240" w:lineRule="auto"/>
    </w:pPr>
    <w:rPr>
      <w:rFonts w:ascii="Liberation Serif" w:eastAsia="Noto Sans CJK SC Regular" w:hAnsi="Liberation Serif" w:cs="Free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9C307C"/>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9B20-8B76-402A-AE0C-D1410A41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Pages>
  <Words>2334</Words>
  <Characters>13306</Characters>
  <Application>Microsoft Office Word</Application>
  <DocSecurity>0</DocSecurity>
  <Lines>110</Lines>
  <Paragraphs>31</Paragraphs>
  <ScaleCrop>false</ScaleCrop>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 Vural</dc:creator>
  <cp:keywords/>
  <dc:description/>
  <cp:lastModifiedBy>Cemile Koçoğlu</cp:lastModifiedBy>
  <cp:revision>10</cp:revision>
  <dcterms:created xsi:type="dcterms:W3CDTF">2017-08-09T22:45:00Z</dcterms:created>
  <dcterms:modified xsi:type="dcterms:W3CDTF">2017-08-24T21:45:00Z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17447aee-c608-3675-a9a3-86b3c39309fb</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http://csl.mendeley.com/styles/20088461/duygutez-3</vt:lpwstr>
  </property>
  <property fmtid="{D5CDD505-2E9C-101B-9397-08002B2CF9AE}" pid="14" name="Mendeley Recent Style Name 4_1">
    <vt:lpwstr>FBE_BOUN_Thesis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