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B81E" w14:textId="77777777" w:rsidR="00E343FD" w:rsidRDefault="00E343FD" w:rsidP="00443725">
      <w:pPr>
        <w:spacing w:after="116" w:line="480" w:lineRule="auto"/>
        <w:ind w:left="0" w:right="79" w:firstLine="0"/>
      </w:pPr>
      <w:bookmarkStart w:id="0" w:name="_Hlk23014774"/>
      <w:r w:rsidRPr="00451A55">
        <w:rPr>
          <w:b/>
          <w:bCs/>
        </w:rPr>
        <w:t>Supplementary material</w:t>
      </w:r>
      <w:r>
        <w:rPr>
          <w:b/>
          <w:bCs/>
        </w:rPr>
        <w:t xml:space="preserve"> 1.</w:t>
      </w:r>
      <w:r w:rsidRPr="00451A55">
        <w:t xml:space="preserve"> VP1 mutation analysis.</w:t>
      </w:r>
    </w:p>
    <w:tbl>
      <w:tblPr>
        <w:tblStyle w:val="Tabellenraster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7"/>
        <w:gridCol w:w="3716"/>
        <w:gridCol w:w="3686"/>
        <w:gridCol w:w="1701"/>
      </w:tblGrid>
      <w:tr w:rsidR="00E85424" w14:paraId="7A0727BF" w14:textId="77777777" w:rsidTr="00223F8F">
        <w:trPr>
          <w:trHeight w:val="434"/>
        </w:trPr>
        <w:tc>
          <w:tcPr>
            <w:tcW w:w="4253" w:type="dxa"/>
            <w:gridSpan w:val="2"/>
          </w:tcPr>
          <w:p w14:paraId="232ABB2B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b/>
                <w:bCs/>
                <w:sz w:val="18"/>
                <w:szCs w:val="18"/>
              </w:rPr>
            </w:pPr>
            <w:bookmarkStart w:id="1" w:name="_Hlk23027572"/>
            <w:r w:rsidRPr="009B5619">
              <w:rPr>
                <w:b/>
                <w:bCs/>
                <w:sz w:val="18"/>
                <w:szCs w:val="18"/>
              </w:rPr>
              <w:t>JCV VP1 primers set</w:t>
            </w:r>
          </w:p>
        </w:tc>
        <w:tc>
          <w:tcPr>
            <w:tcW w:w="5387" w:type="dxa"/>
            <w:gridSpan w:val="2"/>
          </w:tcPr>
          <w:p w14:paraId="395B2E2C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b/>
                <w:bCs/>
                <w:sz w:val="18"/>
                <w:szCs w:val="18"/>
              </w:rPr>
            </w:pPr>
            <w:r w:rsidRPr="009B5619">
              <w:rPr>
                <w:b/>
                <w:bCs/>
                <w:sz w:val="18"/>
                <w:szCs w:val="18"/>
              </w:rPr>
              <w:t>Published mutations</w:t>
            </w:r>
          </w:p>
        </w:tc>
      </w:tr>
      <w:tr w:rsidR="00E85424" w:rsidRPr="00304815" w14:paraId="4A58DA45" w14:textId="77777777" w:rsidTr="00223F8F">
        <w:trPr>
          <w:cantSplit/>
          <w:trHeight w:val="976"/>
        </w:trPr>
        <w:tc>
          <w:tcPr>
            <w:tcW w:w="537" w:type="dxa"/>
            <w:textDirection w:val="tbRl"/>
            <w:vAlign w:val="center"/>
          </w:tcPr>
          <w:p w14:paraId="7F8CBB73" w14:textId="77777777" w:rsidR="00E85424" w:rsidRPr="0010764C" w:rsidRDefault="00E85424" w:rsidP="00223F8F">
            <w:pPr>
              <w:spacing w:before="120" w:after="120"/>
              <w:ind w:left="113" w:right="79" w:firstLine="0"/>
              <w:jc w:val="center"/>
              <w:rPr>
                <w:sz w:val="18"/>
                <w:szCs w:val="18"/>
              </w:rPr>
            </w:pPr>
            <w:r w:rsidRPr="0010764C">
              <w:rPr>
                <w:sz w:val="18"/>
                <w:szCs w:val="18"/>
              </w:rPr>
              <w:t>BC loop</w:t>
            </w:r>
          </w:p>
        </w:tc>
        <w:tc>
          <w:tcPr>
            <w:tcW w:w="3716" w:type="dxa"/>
          </w:tcPr>
          <w:p w14:paraId="55002EBA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rFonts w:eastAsia="Calibri"/>
                <w:sz w:val="18"/>
                <w:szCs w:val="18"/>
              </w:rPr>
            </w:pPr>
            <w:r w:rsidRPr="009B5619">
              <w:rPr>
                <w:rFonts w:eastAsia="Calibri"/>
                <w:sz w:val="18"/>
                <w:szCs w:val="18"/>
              </w:rPr>
              <w:t>5’ ACCCCGTGCAAGTTCCAAAA 3’</w:t>
            </w:r>
          </w:p>
          <w:p w14:paraId="030D6A78" w14:textId="77777777" w:rsidR="00E85424" w:rsidRPr="009B5619" w:rsidRDefault="00E85424" w:rsidP="00223F8F">
            <w:pPr>
              <w:spacing w:after="0" w:line="480" w:lineRule="auto"/>
              <w:ind w:left="-5" w:right="90"/>
              <w:jc w:val="center"/>
              <w:rPr>
                <w:sz w:val="18"/>
                <w:szCs w:val="18"/>
              </w:rPr>
            </w:pPr>
            <w:r w:rsidRPr="009B5619">
              <w:rPr>
                <w:rFonts w:eastAsia="Calibri"/>
                <w:sz w:val="18"/>
                <w:szCs w:val="18"/>
              </w:rPr>
              <w:t>5’ TTAAGGTCACAGCCTCCCAC 3’</w:t>
            </w:r>
          </w:p>
        </w:tc>
        <w:tc>
          <w:tcPr>
            <w:tcW w:w="3686" w:type="dxa"/>
          </w:tcPr>
          <w:p w14:paraId="34BA295A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sz w:val="18"/>
                <w:szCs w:val="18"/>
                <w:lang w:val="de-DE"/>
              </w:rPr>
            </w:pPr>
            <w:r w:rsidRPr="009B5619">
              <w:rPr>
                <w:sz w:val="18"/>
                <w:szCs w:val="18"/>
                <w:lang w:val="de-DE"/>
              </w:rPr>
              <w:t>L55F, K60E/N/M, S61P/</w:t>
            </w:r>
            <w:proofErr w:type="gramStart"/>
            <w:r w:rsidRPr="009B5619">
              <w:rPr>
                <w:sz w:val="18"/>
                <w:szCs w:val="18"/>
                <w:lang w:val="de-DE"/>
              </w:rPr>
              <w:t>T,D</w:t>
            </w:r>
            <w:proofErr w:type="gramEnd"/>
            <w:r w:rsidRPr="009B5619">
              <w:rPr>
                <w:sz w:val="18"/>
                <w:szCs w:val="18"/>
                <w:lang w:val="de-DE"/>
              </w:rPr>
              <w:t>66H/N</w:t>
            </w:r>
          </w:p>
        </w:tc>
        <w:tc>
          <w:tcPr>
            <w:tcW w:w="1701" w:type="dxa"/>
          </w:tcPr>
          <w:p w14:paraId="64D13E88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sz w:val="18"/>
                <w:szCs w:val="18"/>
                <w:lang w:val="de-DE"/>
              </w:rPr>
            </w:pPr>
            <w:r w:rsidRPr="009B5619">
              <w:rPr>
                <w:sz w:val="18"/>
                <w:szCs w:val="18"/>
                <w:lang w:val="de-DE"/>
              </w:rPr>
              <w:t xml:space="preserve">not </w:t>
            </w:r>
            <w:proofErr w:type="spellStart"/>
            <w:r w:rsidRPr="009B5619">
              <w:rPr>
                <w:sz w:val="18"/>
                <w:szCs w:val="18"/>
                <w:lang w:val="de-DE"/>
              </w:rPr>
              <w:t>present</w:t>
            </w:r>
            <w:proofErr w:type="spellEnd"/>
          </w:p>
        </w:tc>
      </w:tr>
      <w:tr w:rsidR="00E85424" w14:paraId="3A4ECAFD" w14:textId="77777777" w:rsidTr="00223F8F">
        <w:trPr>
          <w:cantSplit/>
          <w:trHeight w:val="976"/>
        </w:trPr>
        <w:tc>
          <w:tcPr>
            <w:tcW w:w="537" w:type="dxa"/>
            <w:textDirection w:val="tbRl"/>
            <w:vAlign w:val="center"/>
          </w:tcPr>
          <w:p w14:paraId="4DBA745D" w14:textId="77777777" w:rsidR="00E85424" w:rsidRPr="0010764C" w:rsidRDefault="00E85424" w:rsidP="00223F8F">
            <w:pPr>
              <w:spacing w:before="120" w:after="120"/>
              <w:ind w:left="113" w:right="79" w:firstLine="0"/>
              <w:jc w:val="center"/>
              <w:rPr>
                <w:sz w:val="18"/>
                <w:szCs w:val="18"/>
              </w:rPr>
            </w:pPr>
            <w:r w:rsidRPr="0010764C">
              <w:rPr>
                <w:sz w:val="18"/>
                <w:szCs w:val="18"/>
              </w:rPr>
              <w:t>HI loop</w:t>
            </w:r>
          </w:p>
        </w:tc>
        <w:tc>
          <w:tcPr>
            <w:tcW w:w="3716" w:type="dxa"/>
          </w:tcPr>
          <w:p w14:paraId="050EF1D3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rFonts w:eastAsia="Calibri"/>
                <w:sz w:val="18"/>
                <w:szCs w:val="18"/>
              </w:rPr>
            </w:pPr>
            <w:r w:rsidRPr="009B5619">
              <w:rPr>
                <w:rFonts w:eastAsia="Calibri"/>
                <w:sz w:val="18"/>
                <w:szCs w:val="18"/>
              </w:rPr>
              <w:t>5’ TTTGGTGTTGGGCCACTTTG 3’</w:t>
            </w:r>
          </w:p>
          <w:p w14:paraId="295FDD8E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sz w:val="18"/>
                <w:szCs w:val="18"/>
              </w:rPr>
            </w:pPr>
            <w:r w:rsidRPr="009B5619">
              <w:rPr>
                <w:rFonts w:eastAsia="Calibri"/>
                <w:sz w:val="18"/>
                <w:szCs w:val="18"/>
              </w:rPr>
              <w:t>5’ ATGCCATACATAGGCTGCCC 3’</w:t>
            </w:r>
          </w:p>
        </w:tc>
        <w:tc>
          <w:tcPr>
            <w:tcW w:w="3686" w:type="dxa"/>
          </w:tcPr>
          <w:p w14:paraId="5DC36960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sz w:val="18"/>
                <w:szCs w:val="18"/>
              </w:rPr>
            </w:pPr>
            <w:r w:rsidRPr="009B5619">
              <w:rPr>
                <w:sz w:val="18"/>
                <w:szCs w:val="18"/>
              </w:rPr>
              <w:t>N265S/D/T, S267F/L/T, S269F/Y/C, Q271H</w:t>
            </w:r>
          </w:p>
        </w:tc>
        <w:tc>
          <w:tcPr>
            <w:tcW w:w="1701" w:type="dxa"/>
          </w:tcPr>
          <w:p w14:paraId="2CAE6B15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sz w:val="18"/>
                <w:szCs w:val="18"/>
              </w:rPr>
            </w:pPr>
            <w:r w:rsidRPr="009B5619">
              <w:rPr>
                <w:sz w:val="18"/>
                <w:szCs w:val="18"/>
              </w:rPr>
              <w:t>not present</w:t>
            </w:r>
          </w:p>
        </w:tc>
      </w:tr>
      <w:tr w:rsidR="00E85424" w14:paraId="7E51B961" w14:textId="77777777" w:rsidTr="00223F8F">
        <w:trPr>
          <w:trHeight w:val="870"/>
        </w:trPr>
        <w:tc>
          <w:tcPr>
            <w:tcW w:w="537" w:type="dxa"/>
            <w:vMerge w:val="restart"/>
            <w:textDirection w:val="tbRl"/>
            <w:vAlign w:val="center"/>
          </w:tcPr>
          <w:p w14:paraId="7BCE14E3" w14:textId="77777777" w:rsidR="00E85424" w:rsidRPr="0010764C" w:rsidRDefault="00E85424" w:rsidP="00223F8F">
            <w:pPr>
              <w:spacing w:before="120" w:after="120"/>
              <w:ind w:left="113" w:right="79" w:firstLine="0"/>
              <w:jc w:val="center"/>
              <w:rPr>
                <w:sz w:val="18"/>
                <w:szCs w:val="18"/>
              </w:rPr>
            </w:pPr>
            <w:r w:rsidRPr="0010764C">
              <w:rPr>
                <w:sz w:val="18"/>
                <w:szCs w:val="18"/>
              </w:rPr>
              <w:t>C - terminus</w:t>
            </w:r>
          </w:p>
        </w:tc>
        <w:tc>
          <w:tcPr>
            <w:tcW w:w="3716" w:type="dxa"/>
            <w:vMerge w:val="restart"/>
          </w:tcPr>
          <w:p w14:paraId="2C044586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 w:rsidRPr="009B5619">
              <w:rPr>
                <w:rFonts w:eastAsia="Calibri"/>
                <w:sz w:val="18"/>
                <w:szCs w:val="18"/>
                <w:u w:val="single"/>
              </w:rPr>
              <w:t>Set 1:</w:t>
            </w:r>
          </w:p>
          <w:p w14:paraId="3AEBDF4D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rFonts w:eastAsia="Calibri"/>
                <w:sz w:val="18"/>
                <w:szCs w:val="18"/>
              </w:rPr>
            </w:pPr>
            <w:r w:rsidRPr="009B5619">
              <w:rPr>
                <w:sz w:val="18"/>
                <w:szCs w:val="18"/>
              </w:rPr>
              <w:t>5’ CTCCTAGAGTTGATGGGCAGC</w:t>
            </w:r>
            <w:r w:rsidRPr="009B5619">
              <w:rPr>
                <w:rFonts w:eastAsia="Calibri"/>
                <w:sz w:val="18"/>
                <w:szCs w:val="18"/>
              </w:rPr>
              <w:t xml:space="preserve"> 3’</w:t>
            </w:r>
          </w:p>
          <w:p w14:paraId="05E25A9A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rFonts w:eastAsia="Calibri"/>
                <w:sz w:val="18"/>
                <w:szCs w:val="18"/>
              </w:rPr>
            </w:pPr>
            <w:r w:rsidRPr="009B5619">
              <w:rPr>
                <w:sz w:val="18"/>
                <w:szCs w:val="18"/>
              </w:rPr>
              <w:t>5’ CTGCAAATGTTAAGTAAAGCTGGT 3’</w:t>
            </w:r>
          </w:p>
          <w:p w14:paraId="57BA8050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 w:rsidRPr="009B5619">
              <w:rPr>
                <w:rFonts w:eastAsia="Calibri"/>
                <w:sz w:val="18"/>
                <w:szCs w:val="18"/>
                <w:u w:val="single"/>
              </w:rPr>
              <w:t>Confirming Set 2:</w:t>
            </w:r>
          </w:p>
          <w:p w14:paraId="28D96A03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sz w:val="18"/>
                <w:szCs w:val="18"/>
              </w:rPr>
            </w:pPr>
            <w:r w:rsidRPr="009B5619">
              <w:rPr>
                <w:sz w:val="18"/>
                <w:szCs w:val="18"/>
              </w:rPr>
              <w:t>5’ GACTCCTAGAGTTGATGGGCAG 3’</w:t>
            </w:r>
          </w:p>
          <w:p w14:paraId="37C4AC9D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rFonts w:eastAsia="Calibri"/>
                <w:sz w:val="18"/>
                <w:szCs w:val="18"/>
              </w:rPr>
            </w:pPr>
            <w:r w:rsidRPr="009B5619">
              <w:rPr>
                <w:sz w:val="18"/>
                <w:szCs w:val="18"/>
              </w:rPr>
              <w:t>5’ CAAAGACCCCTCCCCCAAAATA 3’</w:t>
            </w:r>
          </w:p>
        </w:tc>
        <w:tc>
          <w:tcPr>
            <w:tcW w:w="3686" w:type="dxa"/>
          </w:tcPr>
          <w:p w14:paraId="0F1ECD5E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sz w:val="18"/>
                <w:szCs w:val="18"/>
              </w:rPr>
            </w:pPr>
            <w:r w:rsidRPr="009B5619">
              <w:rPr>
                <w:sz w:val="18"/>
                <w:szCs w:val="18"/>
              </w:rPr>
              <w:t>In-frame and out-of-frame deletions, duplications, mutations termed JCV</w:t>
            </w:r>
            <w:r w:rsidRPr="009B5619">
              <w:rPr>
                <w:sz w:val="18"/>
                <w:szCs w:val="18"/>
                <w:vertAlign w:val="subscript"/>
              </w:rPr>
              <w:t>GCN1-8</w:t>
            </w:r>
          </w:p>
        </w:tc>
        <w:tc>
          <w:tcPr>
            <w:tcW w:w="1701" w:type="dxa"/>
          </w:tcPr>
          <w:p w14:paraId="2BB949D2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sz w:val="18"/>
                <w:szCs w:val="18"/>
              </w:rPr>
            </w:pPr>
            <w:r w:rsidRPr="009B5619">
              <w:rPr>
                <w:sz w:val="18"/>
                <w:szCs w:val="18"/>
              </w:rPr>
              <w:t>not present</w:t>
            </w:r>
          </w:p>
        </w:tc>
      </w:tr>
      <w:tr w:rsidR="00E85424" w14:paraId="622BA409" w14:textId="77777777" w:rsidTr="00223F8F">
        <w:trPr>
          <w:trHeight w:val="391"/>
        </w:trPr>
        <w:tc>
          <w:tcPr>
            <w:tcW w:w="537" w:type="dxa"/>
            <w:vMerge/>
            <w:vAlign w:val="center"/>
          </w:tcPr>
          <w:p w14:paraId="2041B201" w14:textId="77777777" w:rsidR="00E85424" w:rsidRDefault="00E85424" w:rsidP="00223F8F">
            <w:pPr>
              <w:spacing w:before="120" w:after="120"/>
              <w:ind w:left="0" w:right="79" w:firstLine="0"/>
              <w:jc w:val="center"/>
            </w:pPr>
          </w:p>
        </w:tc>
        <w:tc>
          <w:tcPr>
            <w:tcW w:w="3716" w:type="dxa"/>
            <w:vMerge/>
          </w:tcPr>
          <w:p w14:paraId="13569C45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</w:tcPr>
          <w:p w14:paraId="7CB5B69D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b/>
                <w:bCs/>
                <w:sz w:val="18"/>
                <w:szCs w:val="18"/>
              </w:rPr>
            </w:pPr>
            <w:r w:rsidRPr="009B5619">
              <w:rPr>
                <w:b/>
                <w:bCs/>
                <w:sz w:val="18"/>
                <w:szCs w:val="18"/>
              </w:rPr>
              <w:t>New mutation (JCV</w:t>
            </w:r>
            <w:r w:rsidRPr="009B5619">
              <w:rPr>
                <w:b/>
                <w:bCs/>
                <w:sz w:val="18"/>
                <w:szCs w:val="18"/>
                <w:vertAlign w:val="subscript"/>
              </w:rPr>
              <w:t>GCN9</w:t>
            </w:r>
            <w:r w:rsidRPr="009B5619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85424" w14:paraId="4422FBB6" w14:textId="77777777" w:rsidTr="00223F8F">
        <w:trPr>
          <w:trHeight w:val="1177"/>
        </w:trPr>
        <w:tc>
          <w:tcPr>
            <w:tcW w:w="537" w:type="dxa"/>
            <w:vMerge/>
            <w:vAlign w:val="center"/>
          </w:tcPr>
          <w:p w14:paraId="3F40E8FA" w14:textId="77777777" w:rsidR="00E85424" w:rsidRDefault="00E85424" w:rsidP="00223F8F">
            <w:pPr>
              <w:spacing w:before="120" w:after="120"/>
              <w:ind w:left="0" w:right="79" w:firstLine="0"/>
              <w:jc w:val="center"/>
            </w:pPr>
          </w:p>
        </w:tc>
        <w:tc>
          <w:tcPr>
            <w:tcW w:w="3716" w:type="dxa"/>
            <w:vMerge/>
          </w:tcPr>
          <w:p w14:paraId="38369464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</w:tcPr>
          <w:p w14:paraId="20E78471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rFonts w:eastAsia="Calibri"/>
                <w:sz w:val="18"/>
                <w:szCs w:val="18"/>
              </w:rPr>
            </w:pPr>
            <w:r w:rsidRPr="009B5619">
              <w:rPr>
                <w:rFonts w:eastAsia="Calibri"/>
                <w:sz w:val="18"/>
                <w:szCs w:val="18"/>
              </w:rPr>
              <w:t>7</w:t>
            </w:r>
            <w:r w:rsidRPr="009B5619">
              <w:rPr>
                <w:rFonts w:eastAsia="Calibri"/>
                <w:sz w:val="18"/>
                <w:szCs w:val="18"/>
                <w:vertAlign w:val="superscript"/>
              </w:rPr>
              <w:t>th</w:t>
            </w:r>
            <w:r w:rsidRPr="009B5619">
              <w:rPr>
                <w:rFonts w:eastAsia="Calibri"/>
                <w:sz w:val="18"/>
                <w:szCs w:val="18"/>
              </w:rPr>
              <w:t xml:space="preserve"> position after VP1 C-terminus</w:t>
            </w:r>
          </w:p>
          <w:p w14:paraId="6CD09ACC" w14:textId="77777777" w:rsidR="00E85424" w:rsidRPr="009B5619" w:rsidRDefault="00E85424" w:rsidP="00223F8F">
            <w:pPr>
              <w:spacing w:after="0" w:line="480" w:lineRule="auto"/>
              <w:ind w:left="0" w:right="79" w:firstLine="0"/>
              <w:jc w:val="center"/>
              <w:rPr>
                <w:noProof/>
                <w:sz w:val="18"/>
                <w:szCs w:val="18"/>
              </w:rPr>
            </w:pPr>
            <w:r w:rsidRPr="009B5619">
              <w:rPr>
                <w:rFonts w:eastAsia="Calibri"/>
                <w:sz w:val="18"/>
                <w:szCs w:val="18"/>
              </w:rPr>
              <w:t>(</w:t>
            </w:r>
            <w:r w:rsidRPr="009B5619">
              <w:rPr>
                <w:noProof/>
                <w:sz w:val="18"/>
                <w:szCs w:val="18"/>
              </w:rPr>
              <w:t>ATA Isoleucine/I to AAA Lysine/K)</w:t>
            </w:r>
          </w:p>
          <w:p w14:paraId="19CF6359" w14:textId="77777777" w:rsidR="00E85424" w:rsidRPr="009B5619" w:rsidRDefault="00E85424" w:rsidP="004932D6">
            <w:pPr>
              <w:spacing w:after="0" w:line="480" w:lineRule="auto"/>
              <w:ind w:left="0" w:right="79" w:firstLine="0"/>
              <w:jc w:val="center"/>
              <w:rPr>
                <w:b/>
                <w:bCs/>
                <w:sz w:val="18"/>
                <w:szCs w:val="18"/>
              </w:rPr>
            </w:pPr>
            <w:r w:rsidRPr="009B5619">
              <w:rPr>
                <w:noProof/>
                <w:sz w:val="18"/>
                <w:szCs w:val="18"/>
              </w:rPr>
              <w:drawing>
                <wp:inline distT="0" distB="0" distL="0" distR="0" wp14:anchorId="0D1F5FAB" wp14:editId="07A5E1D7">
                  <wp:extent cx="2824163" cy="438753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782" cy="51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6C049AFD" w14:textId="77777777" w:rsidR="00B46FFF" w:rsidRDefault="00B46FFF" w:rsidP="00B46FFF">
      <w:pPr>
        <w:spacing w:after="1" w:line="480" w:lineRule="auto"/>
        <w:ind w:left="0" w:right="90" w:firstLine="0"/>
        <w:rPr>
          <w:rFonts w:eastAsia="Calibri"/>
          <w:u w:val="single"/>
        </w:rPr>
      </w:pPr>
    </w:p>
    <w:p w14:paraId="1F6808A8" w14:textId="5CD21331" w:rsidR="007E7064" w:rsidRPr="00443725" w:rsidRDefault="00E343FD" w:rsidP="00443725">
      <w:pPr>
        <w:spacing w:after="1" w:line="480" w:lineRule="auto"/>
        <w:ind w:left="0" w:right="90" w:firstLine="0"/>
      </w:pPr>
      <w:r w:rsidRPr="001779D1">
        <w:rPr>
          <w:rFonts w:eastAsia="Calibri"/>
        </w:rPr>
        <w:t>To amplify the fragments around mutations L55 (BC loop) and S267/S269 (HI loop) in JCV VP1 region, we have designed two pairs of primers flan</w:t>
      </w:r>
      <w:bookmarkStart w:id="2" w:name="_GoBack"/>
      <w:bookmarkEnd w:id="2"/>
      <w:r w:rsidRPr="001779D1">
        <w:rPr>
          <w:rFonts w:eastAsia="Calibri"/>
        </w:rPr>
        <w:t xml:space="preserve">king size of 291 bp and 230 bp respectively.  For </w:t>
      </w:r>
      <w:r>
        <w:rPr>
          <w:rFonts w:eastAsia="Calibri"/>
        </w:rPr>
        <w:t>BC loop</w:t>
      </w:r>
      <w:r w:rsidRPr="001779D1">
        <w:rPr>
          <w:rFonts w:eastAsia="Calibri"/>
        </w:rPr>
        <w:t xml:space="preserve">, forward primer: 5’ ACCCCGTGCAAGTTCCAAAA 3’, reverse primer: 5’ TTAAGGTCACAGCCTCCCAC 3’. For </w:t>
      </w:r>
      <w:r>
        <w:rPr>
          <w:rFonts w:eastAsia="Calibri"/>
        </w:rPr>
        <w:t>HI loop</w:t>
      </w:r>
      <w:r w:rsidRPr="001779D1">
        <w:rPr>
          <w:rFonts w:eastAsia="Calibri"/>
        </w:rPr>
        <w:t>, forward primer: 5’ TTTGGTGTTGGGCCACTTTG 3’, reverse primer: 5’ ATGCCATACATAGGCTGCCC 3’</w:t>
      </w:r>
      <w:r>
        <w:rPr>
          <w:rFonts w:eastAsia="Calibri"/>
        </w:rPr>
        <w:t xml:space="preserve">. </w:t>
      </w:r>
      <w:r>
        <w:t xml:space="preserve">Two sets of primers were used for PCR VP1 C-terminus: Set 1 </w:t>
      </w:r>
      <w:r w:rsidRPr="001779D1">
        <w:rPr>
          <w:rFonts w:eastAsia="Calibri"/>
        </w:rPr>
        <w:t>forward primer:</w:t>
      </w:r>
      <w:r>
        <w:rPr>
          <w:rFonts w:eastAsia="Calibri"/>
        </w:rPr>
        <w:t xml:space="preserve"> </w:t>
      </w:r>
      <w:r>
        <w:t xml:space="preserve">5’ CTCCTAGAGTTGATGGGCAGC 3’; set 1 </w:t>
      </w:r>
      <w:r w:rsidRPr="001779D1">
        <w:rPr>
          <w:rFonts w:eastAsia="Calibri"/>
        </w:rPr>
        <w:t>reverse primer:</w:t>
      </w:r>
      <w:r>
        <w:rPr>
          <w:rFonts w:eastAsia="Calibri"/>
        </w:rPr>
        <w:t xml:space="preserve"> </w:t>
      </w:r>
      <w:r>
        <w:t xml:space="preserve">5’ CTGCAAATGTTAAGTAAAGCTGGTT 3’; set 2 </w:t>
      </w:r>
      <w:r w:rsidRPr="001779D1">
        <w:rPr>
          <w:rFonts w:eastAsia="Calibri"/>
        </w:rPr>
        <w:t>forward primer:</w:t>
      </w:r>
      <w:r>
        <w:rPr>
          <w:rFonts w:eastAsia="Calibri"/>
        </w:rPr>
        <w:t xml:space="preserve"> </w:t>
      </w:r>
      <w:r>
        <w:t xml:space="preserve">5’ GACTCCTAGAGTTGATGGGCAG 3’; set 2 </w:t>
      </w:r>
      <w:r w:rsidRPr="001779D1">
        <w:rPr>
          <w:rFonts w:eastAsia="Calibri"/>
        </w:rPr>
        <w:t>reverse primer:</w:t>
      </w:r>
      <w:r>
        <w:rPr>
          <w:rFonts w:eastAsia="Calibri"/>
        </w:rPr>
        <w:t xml:space="preserve"> </w:t>
      </w:r>
      <w:r>
        <w:t xml:space="preserve">5’ CAAAGACCCCTCCCCCAAAATA 3’.  </w:t>
      </w:r>
      <w:r w:rsidRPr="001779D1">
        <w:rPr>
          <w:rFonts w:eastAsia="Calibri"/>
        </w:rPr>
        <w:t>Viral genome DNA was extracted from</w:t>
      </w:r>
      <w:r>
        <w:rPr>
          <w:rFonts w:eastAsia="Calibri"/>
        </w:rPr>
        <w:t xml:space="preserve"> the</w:t>
      </w:r>
      <w:r w:rsidRPr="001779D1">
        <w:rPr>
          <w:rFonts w:eastAsia="Calibri"/>
        </w:rPr>
        <w:t xml:space="preserve"> patient</w:t>
      </w:r>
      <w:r>
        <w:rPr>
          <w:rFonts w:eastAsia="Calibri"/>
        </w:rPr>
        <w:t>’s</w:t>
      </w:r>
      <w:r w:rsidRPr="001779D1">
        <w:rPr>
          <w:rFonts w:eastAsia="Calibri"/>
        </w:rPr>
        <w:t xml:space="preserve"> frozen plasma </w:t>
      </w:r>
      <w:r>
        <w:rPr>
          <w:rFonts w:eastAsia="Calibri"/>
        </w:rPr>
        <w:t xml:space="preserve">and CSF </w:t>
      </w:r>
      <w:r w:rsidRPr="001779D1">
        <w:rPr>
          <w:rFonts w:eastAsia="Calibri"/>
        </w:rPr>
        <w:t xml:space="preserve">using </w:t>
      </w:r>
      <w:proofErr w:type="spellStart"/>
      <w:r w:rsidRPr="001779D1">
        <w:rPr>
          <w:rFonts w:eastAsia="Calibri"/>
        </w:rPr>
        <w:t>QIAamp</w:t>
      </w:r>
      <w:proofErr w:type="spellEnd"/>
      <w:r w:rsidRPr="001779D1">
        <w:rPr>
          <w:rFonts w:eastAsia="Calibri"/>
        </w:rPr>
        <w:t xml:space="preserve"> </w:t>
      </w:r>
      <w:proofErr w:type="spellStart"/>
      <w:r w:rsidRPr="001779D1">
        <w:rPr>
          <w:rFonts w:eastAsia="Calibri"/>
        </w:rPr>
        <w:t>MiniElute</w:t>
      </w:r>
      <w:proofErr w:type="spellEnd"/>
      <w:r w:rsidRPr="001779D1">
        <w:rPr>
          <w:rFonts w:eastAsia="Calibri"/>
        </w:rPr>
        <w:t xml:space="preserve"> Virus Spin Kit (Qiagen GmbH, Hilden, Germany) and PCR products were amplified with </w:t>
      </w:r>
      <w:proofErr w:type="spellStart"/>
      <w:r w:rsidRPr="001779D1">
        <w:rPr>
          <w:rFonts w:eastAsia="Calibri"/>
        </w:rPr>
        <w:t>GoTag</w:t>
      </w:r>
      <w:proofErr w:type="spellEnd"/>
      <w:r w:rsidRPr="001779D1">
        <w:rPr>
          <w:rFonts w:eastAsia="Calibri"/>
        </w:rPr>
        <w:t xml:space="preserve"> Green [Promega (Madison, WI)] with 5</w:t>
      </w:r>
      <w:r>
        <w:rPr>
          <w:rFonts w:eastAsia="Calibri"/>
        </w:rPr>
        <w:t>-10</w:t>
      </w:r>
      <w:r w:rsidRPr="001779D1">
        <w:rPr>
          <w:rFonts w:eastAsia="Calibri"/>
        </w:rPr>
        <w:t xml:space="preserve"> </w:t>
      </w:r>
      <w:r>
        <w:rPr>
          <w:rFonts w:eastAsia="Calibri"/>
        </w:rPr>
        <w:t>µ</w:t>
      </w:r>
      <w:r w:rsidRPr="001779D1">
        <w:rPr>
          <w:rFonts w:eastAsia="Calibri"/>
        </w:rPr>
        <w:t xml:space="preserve">l of JCV virus. PCR program was as follows:  94 </w:t>
      </w:r>
      <w:proofErr w:type="spellStart"/>
      <w:r w:rsidRPr="001779D1">
        <w:rPr>
          <w:rFonts w:eastAsia="Calibri"/>
          <w:vertAlign w:val="superscript"/>
        </w:rPr>
        <w:t>o</w:t>
      </w:r>
      <w:r w:rsidRPr="001779D1">
        <w:rPr>
          <w:rFonts w:eastAsia="Calibri"/>
        </w:rPr>
        <w:t>C</w:t>
      </w:r>
      <w:proofErr w:type="spellEnd"/>
      <w:r w:rsidRPr="001779D1">
        <w:rPr>
          <w:rFonts w:eastAsia="Calibri"/>
        </w:rPr>
        <w:t xml:space="preserve"> 2’, then 50 cycles at 94 </w:t>
      </w:r>
      <w:proofErr w:type="spellStart"/>
      <w:r w:rsidRPr="001779D1">
        <w:rPr>
          <w:rFonts w:eastAsia="Calibri"/>
          <w:vertAlign w:val="superscript"/>
        </w:rPr>
        <w:t>o</w:t>
      </w:r>
      <w:r w:rsidRPr="001779D1">
        <w:rPr>
          <w:rFonts w:eastAsia="Calibri"/>
        </w:rPr>
        <w:t>C</w:t>
      </w:r>
      <w:proofErr w:type="spellEnd"/>
      <w:r w:rsidRPr="001779D1">
        <w:rPr>
          <w:rFonts w:eastAsia="Calibri"/>
        </w:rPr>
        <w:t xml:space="preserve"> 20 second, 56 </w:t>
      </w:r>
      <w:proofErr w:type="spellStart"/>
      <w:r w:rsidRPr="001779D1">
        <w:rPr>
          <w:rFonts w:eastAsia="Calibri"/>
          <w:vertAlign w:val="superscript"/>
        </w:rPr>
        <w:t>o</w:t>
      </w:r>
      <w:r w:rsidRPr="001779D1">
        <w:rPr>
          <w:rFonts w:eastAsia="Calibri"/>
        </w:rPr>
        <w:t>C</w:t>
      </w:r>
      <w:proofErr w:type="spellEnd"/>
      <w:r w:rsidRPr="001779D1">
        <w:rPr>
          <w:rFonts w:eastAsia="Calibri"/>
        </w:rPr>
        <w:t xml:space="preserve"> 30 second, 68 </w:t>
      </w:r>
      <w:proofErr w:type="spellStart"/>
      <w:r w:rsidRPr="001779D1">
        <w:rPr>
          <w:rFonts w:eastAsia="Calibri"/>
          <w:vertAlign w:val="superscript"/>
        </w:rPr>
        <w:t>o</w:t>
      </w:r>
      <w:r w:rsidRPr="001779D1">
        <w:rPr>
          <w:rFonts w:eastAsia="Calibri"/>
        </w:rPr>
        <w:t>C</w:t>
      </w:r>
      <w:proofErr w:type="spellEnd"/>
      <w:r w:rsidRPr="001779D1">
        <w:rPr>
          <w:rFonts w:eastAsia="Calibri"/>
        </w:rPr>
        <w:t xml:space="preserve"> 1’ due to low yield of JCV virus DNA</w:t>
      </w:r>
      <w:r>
        <w:rPr>
          <w:rFonts w:eastAsia="Calibri"/>
        </w:rPr>
        <w:t xml:space="preserve"> from patient’s plasma and CSF</w:t>
      </w:r>
      <w:r w:rsidRPr="001779D1">
        <w:rPr>
          <w:rFonts w:eastAsia="Calibri"/>
        </w:rPr>
        <w:t xml:space="preserve">. After amplifying both </w:t>
      </w:r>
      <w:r>
        <w:rPr>
          <w:rFonts w:eastAsia="Calibri"/>
        </w:rPr>
        <w:t>BC loop</w:t>
      </w:r>
      <w:r w:rsidRPr="001779D1">
        <w:rPr>
          <w:rFonts w:eastAsia="Calibri"/>
        </w:rPr>
        <w:t xml:space="preserve"> and </w:t>
      </w:r>
      <w:r>
        <w:rPr>
          <w:rFonts w:eastAsia="Calibri"/>
        </w:rPr>
        <w:t>HI loop</w:t>
      </w:r>
      <w:r w:rsidRPr="001779D1">
        <w:rPr>
          <w:rFonts w:eastAsia="Calibri"/>
        </w:rPr>
        <w:t xml:space="preserve"> fragments of JCV VP1 region, we detected 291 bp and 230 bp PCR products respectively from </w:t>
      </w:r>
      <w:r>
        <w:rPr>
          <w:rFonts w:eastAsia="Calibri"/>
        </w:rPr>
        <w:lastRenderedPageBreak/>
        <w:t xml:space="preserve">both </w:t>
      </w:r>
      <w:r w:rsidRPr="001779D1">
        <w:rPr>
          <w:rFonts w:eastAsia="Calibri"/>
        </w:rPr>
        <w:t>plasma</w:t>
      </w:r>
      <w:r>
        <w:rPr>
          <w:rFonts w:eastAsia="Calibri"/>
        </w:rPr>
        <w:t xml:space="preserve"> and CSF</w:t>
      </w:r>
      <w:r w:rsidRPr="001779D1">
        <w:rPr>
          <w:rFonts w:eastAsia="Calibri"/>
        </w:rPr>
        <w:t xml:space="preserve">. </w:t>
      </w:r>
      <w:r>
        <w:rPr>
          <w:rFonts w:eastAsia="Calibri"/>
        </w:rPr>
        <w:t xml:space="preserve">For the C-terminus PCR, we detected 243 bp and 218 bp </w:t>
      </w:r>
      <w:r w:rsidRPr="001779D1">
        <w:rPr>
          <w:rFonts w:eastAsia="Calibri"/>
        </w:rPr>
        <w:t xml:space="preserve">PCR products respectively </w:t>
      </w:r>
      <w:r>
        <w:rPr>
          <w:rFonts w:eastAsia="Calibri"/>
        </w:rPr>
        <w:t>using the two different sets of primers</w:t>
      </w:r>
      <w:r w:rsidRPr="00FE221D">
        <w:rPr>
          <w:rFonts w:eastAsia="Calibri"/>
        </w:rPr>
        <w:t xml:space="preserve"> </w:t>
      </w:r>
      <w:r>
        <w:rPr>
          <w:rFonts w:eastAsia="Calibri"/>
        </w:rPr>
        <w:t>in</w:t>
      </w:r>
      <w:r w:rsidRPr="001779D1">
        <w:rPr>
          <w:rFonts w:eastAsia="Calibri"/>
        </w:rPr>
        <w:t xml:space="preserve"> plasma</w:t>
      </w:r>
      <w:r>
        <w:rPr>
          <w:rFonts w:eastAsia="Calibri"/>
        </w:rPr>
        <w:t xml:space="preserve"> and CSF. </w:t>
      </w:r>
      <w:r w:rsidRPr="001779D1">
        <w:rPr>
          <w:rFonts w:eastAsia="Calibri"/>
        </w:rPr>
        <w:t xml:space="preserve">The sequencing was done on these purified PCR fragments. </w:t>
      </w:r>
      <w:r>
        <w:rPr>
          <w:rFonts w:eastAsia="Calibri"/>
        </w:rPr>
        <w:t>S</w:t>
      </w:r>
      <w:r w:rsidRPr="001779D1">
        <w:rPr>
          <w:rFonts w:eastAsia="Calibri"/>
        </w:rPr>
        <w:t xml:space="preserve">equencing was </w:t>
      </w:r>
      <w:r>
        <w:rPr>
          <w:rFonts w:eastAsia="Calibri"/>
        </w:rPr>
        <w:t xml:space="preserve">repeated </w:t>
      </w:r>
      <w:r w:rsidRPr="001779D1">
        <w:rPr>
          <w:rFonts w:eastAsia="Calibri"/>
        </w:rPr>
        <w:t>twice with fresh PCR fragments to eliminate any PCR errors during PCR or sequencing</w:t>
      </w:r>
      <w:r>
        <w:rPr>
          <w:rFonts w:eastAsia="Calibri"/>
        </w:rPr>
        <w:t>.</w:t>
      </w:r>
      <w:bookmarkEnd w:id="0"/>
      <w:r w:rsidRPr="008E5C7F">
        <w:t xml:space="preserve"> </w:t>
      </w:r>
    </w:p>
    <w:sectPr w:rsidR="007E7064" w:rsidRPr="00443725" w:rsidSect="00685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6DD"/>
    <w:multiLevelType w:val="hybridMultilevel"/>
    <w:tmpl w:val="A77A8080"/>
    <w:lvl w:ilvl="0" w:tplc="467EA9B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83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86B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0E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EC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2B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AE4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438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449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343FD"/>
    <w:rsid w:val="00443725"/>
    <w:rsid w:val="004932D6"/>
    <w:rsid w:val="0059577D"/>
    <w:rsid w:val="0060520C"/>
    <w:rsid w:val="006F3FAA"/>
    <w:rsid w:val="008C6C9C"/>
    <w:rsid w:val="00915387"/>
    <w:rsid w:val="00B46FFF"/>
    <w:rsid w:val="00C836EA"/>
    <w:rsid w:val="00D62EBF"/>
    <w:rsid w:val="00E343FD"/>
    <w:rsid w:val="00E371ED"/>
    <w:rsid w:val="00E85424"/>
    <w:rsid w:val="00EF787B"/>
    <w:rsid w:val="00F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38E2"/>
  <w15:chartTrackingRefBased/>
  <w15:docId w15:val="{F071E9F2-9C52-49C4-BBA5-6EE60839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343FD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paragraph" w:styleId="berschrift1">
    <w:name w:val="heading 1"/>
    <w:next w:val="Standard"/>
    <w:link w:val="berschrift1Zchn"/>
    <w:uiPriority w:val="9"/>
    <w:qFormat/>
    <w:rsid w:val="00E343FD"/>
    <w:pPr>
      <w:keepNext/>
      <w:keepLines/>
      <w:spacing w:after="343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343FD"/>
    <w:rPr>
      <w:rFonts w:ascii="Times New Roman" w:eastAsia="Times New Roman" w:hAnsi="Times New Roman" w:cs="Times New Roman"/>
      <w:b/>
      <w:color w:val="000000"/>
      <w:lang w:val="en-US" w:eastAsia="zh-CN"/>
    </w:rPr>
  </w:style>
  <w:style w:type="table" w:customStyle="1" w:styleId="TableGrid">
    <w:name w:val="TableGrid"/>
    <w:rsid w:val="00E343FD"/>
    <w:pPr>
      <w:spacing w:after="0" w:line="240" w:lineRule="auto"/>
    </w:pPr>
    <w:rPr>
      <w:rFonts w:eastAsiaTheme="minorEastAsia"/>
      <w:lang w:val="en-U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343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43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FD"/>
    <w:rPr>
      <w:rFonts w:ascii="Segoe UI" w:eastAsia="Times New Roman" w:hAnsi="Segoe UI" w:cs="Segoe UI"/>
      <w:color w:val="000000"/>
      <w:sz w:val="18"/>
      <w:szCs w:val="18"/>
      <w:lang w:val="en-US" w:eastAsia="zh-CN"/>
    </w:rPr>
  </w:style>
  <w:style w:type="paragraph" w:styleId="berarbeitung">
    <w:name w:val="Revision"/>
    <w:hidden/>
    <w:uiPriority w:val="99"/>
    <w:semiHidden/>
    <w:rsid w:val="00E343FD"/>
    <w:pPr>
      <w:spacing w:after="0" w:line="240" w:lineRule="auto"/>
    </w:pPr>
    <w:rPr>
      <w:rFonts w:ascii="Times New Roman" w:eastAsia="Times New Roman" w:hAnsi="Times New Roman" w:cs="Times New Roman"/>
      <w:color w:val="000000"/>
      <w:lang w:val="en-US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43F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343FD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343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3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3FD"/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3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3FD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zh-CN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343F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4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 Rempe</dc:creator>
  <cp:keywords/>
  <dc:description/>
  <cp:lastModifiedBy>Torge Rempe</cp:lastModifiedBy>
  <cp:revision>7</cp:revision>
  <dcterms:created xsi:type="dcterms:W3CDTF">2019-10-27T00:40:00Z</dcterms:created>
  <dcterms:modified xsi:type="dcterms:W3CDTF">2019-10-27T06:40:00Z</dcterms:modified>
</cp:coreProperties>
</file>