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3B0D" w14:textId="77777777" w:rsidR="00282630" w:rsidRPr="00AC7465" w:rsidRDefault="00282630" w:rsidP="00AC7465">
      <w:pPr>
        <w:jc w:val="center"/>
        <w:rPr>
          <w:b/>
          <w:bCs/>
          <w:lang w:val="en-CA"/>
        </w:rPr>
      </w:pPr>
      <w:r w:rsidRPr="00AC7465">
        <w:rPr>
          <w:b/>
          <w:bCs/>
          <w:lang w:val="en-CA"/>
        </w:rPr>
        <w:t>Supplemental Data</w:t>
      </w:r>
    </w:p>
    <w:p w14:paraId="4010223C" w14:textId="77777777" w:rsidR="00282630" w:rsidRPr="00AC7465" w:rsidRDefault="00282630" w:rsidP="00282630">
      <w:pPr>
        <w:jc w:val="center"/>
        <w:rPr>
          <w:lang w:val="en-CA"/>
        </w:rPr>
      </w:pPr>
    </w:p>
    <w:p w14:paraId="45FE40B2" w14:textId="1F9E21AB" w:rsidR="00282630" w:rsidRPr="00AC7465" w:rsidRDefault="00282630" w:rsidP="0028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CA"/>
        </w:rPr>
      </w:pPr>
      <w:r w:rsidRPr="00AC7465">
        <w:rPr>
          <w:lang w:val="en-CA"/>
        </w:rPr>
        <w:t>Expanding the Phenotypic and Molecular Spectrum of RNA Polymerase III-Related Leukodystrophy</w:t>
      </w:r>
    </w:p>
    <w:p w14:paraId="4604D1E4" w14:textId="77777777" w:rsidR="00282630" w:rsidRPr="00AC7465" w:rsidRDefault="00282630" w:rsidP="00282630">
      <w:pPr>
        <w:jc w:val="center"/>
        <w:rPr>
          <w:lang w:val="en-CA"/>
        </w:rPr>
      </w:pPr>
    </w:p>
    <w:p w14:paraId="41F500E1" w14:textId="77777777" w:rsidR="00282630" w:rsidRPr="00AC7465" w:rsidRDefault="00282630" w:rsidP="00282630">
      <w:pPr>
        <w:rPr>
          <w:lang w:val="en-CA"/>
        </w:rPr>
      </w:pPr>
    </w:p>
    <w:p w14:paraId="6F2F848A" w14:textId="77777777" w:rsidR="00282630" w:rsidRPr="00AC7465" w:rsidRDefault="00282630" w:rsidP="0028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  <w:bCs/>
          <w:lang w:val="en-CA"/>
        </w:rPr>
      </w:pPr>
      <w:r w:rsidRPr="00AC7465">
        <w:rPr>
          <w:bCs/>
          <w:lang w:val="en-CA"/>
        </w:rPr>
        <w:t xml:space="preserve">Stefanie Perrier,* Laurence </w:t>
      </w:r>
      <w:proofErr w:type="spellStart"/>
      <w:r w:rsidRPr="00AC7465">
        <w:rPr>
          <w:bCs/>
          <w:lang w:val="en-CA"/>
        </w:rPr>
        <w:t>Gauquelin</w:t>
      </w:r>
      <w:proofErr w:type="spellEnd"/>
      <w:r w:rsidRPr="00AC7465">
        <w:rPr>
          <w:bCs/>
          <w:lang w:val="en-CA"/>
        </w:rPr>
        <w:t xml:space="preserve">,* Catherine </w:t>
      </w:r>
      <w:proofErr w:type="spellStart"/>
      <w:r w:rsidRPr="00AC7465">
        <w:rPr>
          <w:bCs/>
          <w:lang w:val="en-CA"/>
        </w:rPr>
        <w:t>Fallet</w:t>
      </w:r>
      <w:proofErr w:type="spellEnd"/>
      <w:r w:rsidRPr="00AC7465">
        <w:rPr>
          <w:bCs/>
          <w:lang w:val="en-CA"/>
        </w:rPr>
        <w:t xml:space="preserve">-Bianco, Megan K. </w:t>
      </w:r>
      <w:proofErr w:type="spellStart"/>
      <w:r w:rsidRPr="00AC7465">
        <w:rPr>
          <w:bCs/>
          <w:lang w:val="en-CA"/>
        </w:rPr>
        <w:t>Dishop</w:t>
      </w:r>
      <w:proofErr w:type="spellEnd"/>
      <w:r w:rsidRPr="00AC7465">
        <w:rPr>
          <w:bCs/>
          <w:lang w:val="en-CA"/>
        </w:rPr>
        <w:t>, Mackenzie A. Michell-Robinson, Luan T. Tran,</w:t>
      </w:r>
      <w:r w:rsidRPr="00AC7465">
        <w:rPr>
          <w:bCs/>
          <w:vertAlign w:val="superscript"/>
          <w:lang w:val="en-CA"/>
        </w:rPr>
        <w:t xml:space="preserve"> </w:t>
      </w:r>
      <w:proofErr w:type="spellStart"/>
      <w:r w:rsidRPr="00AC7465">
        <w:rPr>
          <w:bCs/>
          <w:lang w:val="en-CA"/>
        </w:rPr>
        <w:t>Kether</w:t>
      </w:r>
      <w:proofErr w:type="spellEnd"/>
      <w:r w:rsidRPr="00AC7465">
        <w:rPr>
          <w:bCs/>
          <w:lang w:val="en-CA"/>
        </w:rPr>
        <w:t xml:space="preserve"> Guerrero,</w:t>
      </w:r>
      <w:r w:rsidRPr="00AC7465">
        <w:rPr>
          <w:bCs/>
          <w:vertAlign w:val="superscript"/>
          <w:lang w:val="en-CA"/>
        </w:rPr>
        <w:t xml:space="preserve"> </w:t>
      </w:r>
      <w:r w:rsidRPr="00AC7465">
        <w:rPr>
          <w:bCs/>
          <w:lang w:val="en-CA"/>
        </w:rPr>
        <w:t xml:space="preserve">Lama </w:t>
      </w:r>
      <w:proofErr w:type="spellStart"/>
      <w:r w:rsidRPr="00AC7465">
        <w:rPr>
          <w:bCs/>
          <w:lang w:val="en-CA"/>
        </w:rPr>
        <w:t>Darbelli</w:t>
      </w:r>
      <w:proofErr w:type="spellEnd"/>
      <w:r w:rsidRPr="00AC7465">
        <w:rPr>
          <w:bCs/>
          <w:lang w:val="en-CA"/>
        </w:rPr>
        <w:t>,</w:t>
      </w:r>
      <w:r w:rsidRPr="00AC7465">
        <w:rPr>
          <w:bCs/>
          <w:vertAlign w:val="superscript"/>
          <w:lang w:val="en-CA"/>
        </w:rPr>
        <w:t xml:space="preserve"> </w:t>
      </w:r>
      <w:r w:rsidRPr="00AC7465">
        <w:rPr>
          <w:bCs/>
          <w:lang w:val="en-CA"/>
        </w:rPr>
        <w:t xml:space="preserve"> Myriam </w:t>
      </w:r>
      <w:proofErr w:type="spellStart"/>
      <w:r w:rsidRPr="00AC7465">
        <w:rPr>
          <w:bCs/>
          <w:lang w:val="en-CA"/>
        </w:rPr>
        <w:t>Srour</w:t>
      </w:r>
      <w:proofErr w:type="spellEnd"/>
      <w:r w:rsidRPr="00AC7465">
        <w:rPr>
          <w:bCs/>
          <w:lang w:val="en-CA"/>
        </w:rPr>
        <w:t xml:space="preserve">, Kevin </w:t>
      </w:r>
      <w:proofErr w:type="spellStart"/>
      <w:r w:rsidRPr="00AC7465">
        <w:rPr>
          <w:bCs/>
          <w:lang w:val="en-CA"/>
        </w:rPr>
        <w:t>Petrecca</w:t>
      </w:r>
      <w:proofErr w:type="spellEnd"/>
      <w:r w:rsidRPr="00AC7465">
        <w:rPr>
          <w:bCs/>
          <w:lang w:val="en-CA"/>
        </w:rPr>
        <w:t xml:space="preserve">, Deborah L. Renaud, Michael Saito, Seth Cohen, </w:t>
      </w:r>
      <w:r w:rsidRPr="00AC7465">
        <w:rPr>
          <w:rFonts w:eastAsia="Arial"/>
          <w:bCs/>
          <w:lang w:val="en-CA"/>
        </w:rPr>
        <w:t xml:space="preserve">Steffen </w:t>
      </w:r>
      <w:proofErr w:type="spellStart"/>
      <w:r w:rsidRPr="00AC7465">
        <w:rPr>
          <w:rFonts w:eastAsia="Arial"/>
          <w:bCs/>
          <w:lang w:val="en-CA"/>
        </w:rPr>
        <w:t>Leiz</w:t>
      </w:r>
      <w:proofErr w:type="spellEnd"/>
      <w:r w:rsidRPr="00AC7465">
        <w:rPr>
          <w:rFonts w:eastAsia="Arial"/>
          <w:bCs/>
          <w:lang w:val="en-CA"/>
        </w:rPr>
        <w:t xml:space="preserve">, Bader </w:t>
      </w:r>
      <w:proofErr w:type="spellStart"/>
      <w:r w:rsidRPr="00AC7465">
        <w:rPr>
          <w:rFonts w:eastAsia="Arial"/>
          <w:bCs/>
          <w:lang w:val="en-CA"/>
        </w:rPr>
        <w:t>Alhaddad</w:t>
      </w:r>
      <w:proofErr w:type="spellEnd"/>
      <w:r w:rsidRPr="00AC7465">
        <w:rPr>
          <w:rFonts w:eastAsia="Arial"/>
          <w:bCs/>
          <w:lang w:val="en-CA"/>
        </w:rPr>
        <w:t>, Tobias B. Haack,</w:t>
      </w:r>
      <w:r w:rsidRPr="00AC7465">
        <w:rPr>
          <w:bCs/>
          <w:lang w:val="en-CA"/>
        </w:rPr>
        <w:t xml:space="preserve"> Ingrid </w:t>
      </w:r>
      <w:proofErr w:type="spellStart"/>
      <w:r w:rsidRPr="00AC7465">
        <w:rPr>
          <w:bCs/>
          <w:lang w:val="en-CA"/>
        </w:rPr>
        <w:t>Tejera</w:t>
      </w:r>
      <w:proofErr w:type="spellEnd"/>
      <w:r w:rsidRPr="00AC7465">
        <w:rPr>
          <w:bCs/>
          <w:lang w:val="en-CA"/>
        </w:rPr>
        <w:t>-Martin,</w:t>
      </w:r>
      <w:r w:rsidRPr="00AC7465">
        <w:rPr>
          <w:bCs/>
          <w:vertAlign w:val="superscript"/>
          <w:lang w:val="en-CA"/>
        </w:rPr>
        <w:t xml:space="preserve"> </w:t>
      </w:r>
      <w:r w:rsidRPr="00AC7465">
        <w:rPr>
          <w:bCs/>
          <w:lang w:val="en-CA"/>
        </w:rPr>
        <w:t xml:space="preserve">Fernando I. </w:t>
      </w:r>
      <w:proofErr w:type="spellStart"/>
      <w:r w:rsidRPr="00AC7465">
        <w:rPr>
          <w:bCs/>
          <w:lang w:val="en-CA"/>
        </w:rPr>
        <w:t>Monton</w:t>
      </w:r>
      <w:proofErr w:type="spellEnd"/>
      <w:r w:rsidRPr="00AC7465">
        <w:rPr>
          <w:bCs/>
          <w:lang w:val="en-CA"/>
        </w:rPr>
        <w:t>,  Norberto Rodriguez-Espinosa,</w:t>
      </w:r>
      <w:r w:rsidRPr="00AC7465">
        <w:rPr>
          <w:bCs/>
          <w:vertAlign w:val="superscript"/>
          <w:lang w:val="en-CA"/>
        </w:rPr>
        <w:t xml:space="preserve"> </w:t>
      </w:r>
      <w:r w:rsidRPr="00AC7465">
        <w:rPr>
          <w:bCs/>
          <w:lang w:val="en-CA"/>
        </w:rPr>
        <w:t xml:space="preserve">Daniela Pohl, </w:t>
      </w:r>
      <w:proofErr w:type="spellStart"/>
      <w:r w:rsidRPr="00AC7465">
        <w:rPr>
          <w:bCs/>
          <w:lang w:val="en-CA"/>
        </w:rPr>
        <w:t>Savithri</w:t>
      </w:r>
      <w:proofErr w:type="spellEnd"/>
      <w:r w:rsidRPr="00AC7465">
        <w:rPr>
          <w:bCs/>
          <w:lang w:val="en-CA"/>
        </w:rPr>
        <w:t xml:space="preserve"> </w:t>
      </w:r>
      <w:proofErr w:type="spellStart"/>
      <w:r w:rsidRPr="00AC7465">
        <w:rPr>
          <w:bCs/>
          <w:lang w:val="en-CA"/>
        </w:rPr>
        <w:t>Nageswaran</w:t>
      </w:r>
      <w:proofErr w:type="spellEnd"/>
      <w:r w:rsidRPr="00AC7465">
        <w:rPr>
          <w:bCs/>
          <w:lang w:val="en-CA"/>
        </w:rPr>
        <w:t xml:space="preserve">, Annette </w:t>
      </w:r>
      <w:proofErr w:type="spellStart"/>
      <w:r w:rsidRPr="00AC7465">
        <w:rPr>
          <w:bCs/>
          <w:lang w:val="en-CA"/>
        </w:rPr>
        <w:t>Grefe</w:t>
      </w:r>
      <w:proofErr w:type="spellEnd"/>
      <w:r w:rsidRPr="00AC7465">
        <w:rPr>
          <w:bCs/>
          <w:lang w:val="en-CA"/>
        </w:rPr>
        <w:t xml:space="preserve">, Emma </w:t>
      </w:r>
      <w:proofErr w:type="spellStart"/>
      <w:r w:rsidRPr="00AC7465">
        <w:rPr>
          <w:bCs/>
          <w:lang w:val="en-CA"/>
        </w:rPr>
        <w:t>Glamuzina</w:t>
      </w:r>
      <w:proofErr w:type="spellEnd"/>
      <w:r w:rsidRPr="00AC7465">
        <w:rPr>
          <w:bCs/>
          <w:lang w:val="en-CA"/>
        </w:rPr>
        <w:t xml:space="preserve">, and </w:t>
      </w:r>
      <w:r w:rsidRPr="00AC7465">
        <w:rPr>
          <w:rFonts w:eastAsia="Arial"/>
          <w:bCs/>
          <w:lang w:val="en-CA"/>
        </w:rPr>
        <w:t>Geneviève</w:t>
      </w:r>
      <w:r w:rsidRPr="00AC7465">
        <w:rPr>
          <w:bCs/>
          <w:lang w:val="en-CA"/>
        </w:rPr>
        <w:t xml:space="preserve"> Bernard</w:t>
      </w:r>
    </w:p>
    <w:p w14:paraId="0CFC82F2" w14:textId="77777777" w:rsidR="00282630" w:rsidRPr="00AC7465" w:rsidRDefault="00282630" w:rsidP="00282630">
      <w:pPr>
        <w:rPr>
          <w:b/>
          <w:bCs/>
          <w:lang w:val="en-CA"/>
        </w:rPr>
      </w:pPr>
    </w:p>
    <w:p w14:paraId="4E38251A" w14:textId="77777777" w:rsidR="00282630" w:rsidRPr="00AC7465" w:rsidRDefault="00282630" w:rsidP="00282630">
      <w:pPr>
        <w:rPr>
          <w:b/>
          <w:bCs/>
          <w:lang w:val="en-CA"/>
        </w:rPr>
      </w:pPr>
    </w:p>
    <w:p w14:paraId="5AF43035" w14:textId="77777777" w:rsidR="00282630" w:rsidRPr="00AC7465" w:rsidRDefault="00282630" w:rsidP="00282630">
      <w:pPr>
        <w:rPr>
          <w:b/>
          <w:bCs/>
          <w:lang w:val="en-CA"/>
        </w:rPr>
      </w:pPr>
    </w:p>
    <w:p w14:paraId="64EA5252" w14:textId="77777777" w:rsidR="00282630" w:rsidRPr="00AC7465" w:rsidRDefault="00282630" w:rsidP="00282630">
      <w:pPr>
        <w:rPr>
          <w:b/>
          <w:bCs/>
          <w:lang w:val="en-CA"/>
        </w:rPr>
      </w:pPr>
    </w:p>
    <w:p w14:paraId="0C64F14E" w14:textId="77777777" w:rsidR="00282630" w:rsidRPr="00AC7465" w:rsidRDefault="00282630" w:rsidP="00282630">
      <w:pPr>
        <w:rPr>
          <w:b/>
          <w:bCs/>
          <w:lang w:val="en-CA"/>
        </w:rPr>
      </w:pPr>
    </w:p>
    <w:p w14:paraId="1789E4D3" w14:textId="77777777" w:rsidR="00282630" w:rsidRPr="00AC7465" w:rsidRDefault="00282630" w:rsidP="00282630">
      <w:pPr>
        <w:rPr>
          <w:b/>
          <w:bCs/>
          <w:lang w:val="en-CA"/>
        </w:rPr>
      </w:pPr>
    </w:p>
    <w:p w14:paraId="201C41EE" w14:textId="77777777" w:rsidR="00282630" w:rsidRPr="00AC7465" w:rsidRDefault="00282630" w:rsidP="00282630">
      <w:pPr>
        <w:rPr>
          <w:b/>
          <w:bCs/>
          <w:lang w:val="en-CA"/>
        </w:rPr>
      </w:pPr>
    </w:p>
    <w:p w14:paraId="771A01AD" w14:textId="77777777" w:rsidR="00282630" w:rsidRPr="00AC7465" w:rsidRDefault="00282630" w:rsidP="00282630">
      <w:pPr>
        <w:rPr>
          <w:b/>
          <w:bCs/>
          <w:lang w:val="en-CA"/>
        </w:rPr>
      </w:pPr>
    </w:p>
    <w:p w14:paraId="3BBF4F38" w14:textId="77777777" w:rsidR="00282630" w:rsidRPr="00AC7465" w:rsidRDefault="00282630" w:rsidP="00282630">
      <w:pPr>
        <w:rPr>
          <w:b/>
          <w:bCs/>
          <w:lang w:val="en-CA"/>
        </w:rPr>
      </w:pPr>
    </w:p>
    <w:p w14:paraId="354EFD79" w14:textId="77777777" w:rsidR="00282630" w:rsidRPr="00AC7465" w:rsidRDefault="00282630" w:rsidP="00282630">
      <w:pPr>
        <w:rPr>
          <w:b/>
          <w:bCs/>
          <w:lang w:val="en-CA"/>
        </w:rPr>
      </w:pPr>
    </w:p>
    <w:p w14:paraId="325ED48A" w14:textId="77777777" w:rsidR="00282630" w:rsidRPr="00AC7465" w:rsidRDefault="00282630" w:rsidP="00282630">
      <w:pPr>
        <w:rPr>
          <w:b/>
          <w:bCs/>
          <w:lang w:val="en-CA"/>
        </w:rPr>
      </w:pPr>
    </w:p>
    <w:p w14:paraId="7B0C73D7" w14:textId="77777777" w:rsidR="00282630" w:rsidRPr="00AC7465" w:rsidRDefault="00282630" w:rsidP="00282630">
      <w:pPr>
        <w:rPr>
          <w:b/>
          <w:bCs/>
          <w:lang w:val="en-CA"/>
        </w:rPr>
      </w:pPr>
    </w:p>
    <w:p w14:paraId="27C50AC6" w14:textId="77777777" w:rsidR="00282630" w:rsidRPr="00AC7465" w:rsidRDefault="00282630" w:rsidP="00282630">
      <w:pPr>
        <w:rPr>
          <w:b/>
          <w:bCs/>
          <w:lang w:val="en-CA"/>
        </w:rPr>
      </w:pPr>
    </w:p>
    <w:p w14:paraId="4D3B1795" w14:textId="77777777" w:rsidR="00282630" w:rsidRPr="00AC7465" w:rsidRDefault="00282630" w:rsidP="00282630">
      <w:pPr>
        <w:rPr>
          <w:b/>
          <w:bCs/>
          <w:lang w:val="en-CA"/>
        </w:rPr>
      </w:pPr>
    </w:p>
    <w:p w14:paraId="6F049E2C" w14:textId="77777777" w:rsidR="00282630" w:rsidRPr="00AC7465" w:rsidRDefault="00282630" w:rsidP="00282630">
      <w:pPr>
        <w:rPr>
          <w:b/>
          <w:bCs/>
          <w:lang w:val="en-CA"/>
        </w:rPr>
      </w:pPr>
    </w:p>
    <w:p w14:paraId="1F34DF2B" w14:textId="77777777" w:rsidR="00282630" w:rsidRPr="00AC7465" w:rsidRDefault="00282630" w:rsidP="00282630">
      <w:pPr>
        <w:rPr>
          <w:b/>
          <w:bCs/>
          <w:lang w:val="en-CA"/>
        </w:rPr>
      </w:pPr>
    </w:p>
    <w:p w14:paraId="4A623EBA" w14:textId="77777777" w:rsidR="00282630" w:rsidRPr="00AC7465" w:rsidRDefault="00282630" w:rsidP="00282630">
      <w:pPr>
        <w:rPr>
          <w:b/>
          <w:bCs/>
          <w:lang w:val="en-CA"/>
        </w:rPr>
      </w:pPr>
    </w:p>
    <w:p w14:paraId="360D31B3" w14:textId="77777777" w:rsidR="00282630" w:rsidRPr="00AC7465" w:rsidRDefault="00282630" w:rsidP="00282630">
      <w:pPr>
        <w:rPr>
          <w:b/>
          <w:bCs/>
          <w:lang w:val="en-CA"/>
        </w:rPr>
      </w:pPr>
    </w:p>
    <w:p w14:paraId="3338687C" w14:textId="77777777" w:rsidR="00282630" w:rsidRPr="00AC7465" w:rsidRDefault="00282630" w:rsidP="00282630">
      <w:pPr>
        <w:rPr>
          <w:b/>
          <w:bCs/>
          <w:lang w:val="en-CA"/>
        </w:rPr>
      </w:pPr>
    </w:p>
    <w:p w14:paraId="160D2954" w14:textId="77777777" w:rsidR="00282630" w:rsidRPr="00AC7465" w:rsidRDefault="00282630" w:rsidP="00282630">
      <w:pPr>
        <w:rPr>
          <w:b/>
          <w:bCs/>
          <w:lang w:val="en-CA"/>
        </w:rPr>
      </w:pPr>
    </w:p>
    <w:p w14:paraId="11F72B8C" w14:textId="77777777" w:rsidR="00282630" w:rsidRPr="00AC7465" w:rsidRDefault="00282630" w:rsidP="00282630">
      <w:pPr>
        <w:rPr>
          <w:b/>
          <w:bCs/>
          <w:lang w:val="en-CA"/>
        </w:rPr>
      </w:pPr>
    </w:p>
    <w:p w14:paraId="524E5DE5" w14:textId="77777777" w:rsidR="00282630" w:rsidRPr="00AC7465" w:rsidRDefault="00282630" w:rsidP="00282630">
      <w:pPr>
        <w:rPr>
          <w:b/>
          <w:bCs/>
          <w:lang w:val="en-CA"/>
        </w:rPr>
      </w:pPr>
    </w:p>
    <w:p w14:paraId="2374F156" w14:textId="77777777" w:rsidR="00282630" w:rsidRPr="00AC7465" w:rsidRDefault="00282630" w:rsidP="00282630">
      <w:pPr>
        <w:rPr>
          <w:b/>
          <w:bCs/>
          <w:lang w:val="en-CA"/>
        </w:rPr>
      </w:pPr>
    </w:p>
    <w:p w14:paraId="585B2D3C" w14:textId="77777777" w:rsidR="00282630" w:rsidRPr="00AC7465" w:rsidRDefault="00282630" w:rsidP="00282630">
      <w:pPr>
        <w:rPr>
          <w:b/>
          <w:bCs/>
          <w:lang w:val="en-CA"/>
        </w:rPr>
      </w:pPr>
    </w:p>
    <w:p w14:paraId="3CE32B17" w14:textId="6A0B533D" w:rsidR="00282630" w:rsidRPr="00AC7465" w:rsidRDefault="00282630" w:rsidP="00282630">
      <w:pPr>
        <w:rPr>
          <w:b/>
          <w:bCs/>
          <w:lang w:val="en-CA"/>
        </w:rPr>
      </w:pPr>
    </w:p>
    <w:p w14:paraId="4F85485D" w14:textId="484300C4" w:rsidR="00282630" w:rsidRPr="00AC7465" w:rsidRDefault="00282630" w:rsidP="00282630">
      <w:pPr>
        <w:rPr>
          <w:b/>
          <w:bCs/>
          <w:lang w:val="en-CA"/>
        </w:rPr>
      </w:pPr>
    </w:p>
    <w:p w14:paraId="4D813778" w14:textId="77777777" w:rsidR="00AC7465" w:rsidRPr="00AC7465" w:rsidRDefault="00AC7465" w:rsidP="00282630">
      <w:pPr>
        <w:rPr>
          <w:b/>
          <w:bCs/>
          <w:lang w:val="en-CA"/>
        </w:rPr>
      </w:pPr>
    </w:p>
    <w:p w14:paraId="71F8F874" w14:textId="77777777" w:rsidR="00282630" w:rsidRPr="00AC7465" w:rsidRDefault="00282630" w:rsidP="00282630">
      <w:pPr>
        <w:rPr>
          <w:b/>
          <w:bCs/>
          <w:lang w:val="en-CA"/>
        </w:rPr>
      </w:pPr>
    </w:p>
    <w:p w14:paraId="776077F1" w14:textId="77777777" w:rsidR="00282630" w:rsidRPr="00AC7465" w:rsidRDefault="00282630" w:rsidP="00282630">
      <w:pPr>
        <w:rPr>
          <w:b/>
          <w:bCs/>
          <w:lang w:val="en-CA"/>
        </w:rPr>
      </w:pPr>
    </w:p>
    <w:p w14:paraId="4AE657DB" w14:textId="77777777" w:rsidR="00282630" w:rsidRPr="00AC7465" w:rsidRDefault="00282630" w:rsidP="00282630">
      <w:pPr>
        <w:rPr>
          <w:b/>
          <w:bCs/>
          <w:lang w:val="en-CA"/>
        </w:rPr>
      </w:pPr>
    </w:p>
    <w:p w14:paraId="01C5376B" w14:textId="77777777" w:rsidR="00282630" w:rsidRPr="00AC7465" w:rsidRDefault="00282630" w:rsidP="00282630">
      <w:pPr>
        <w:rPr>
          <w:b/>
          <w:bCs/>
          <w:lang w:val="en-CA"/>
        </w:rPr>
      </w:pPr>
    </w:p>
    <w:p w14:paraId="05EBA298" w14:textId="77777777" w:rsidR="00282630" w:rsidRPr="00AC7465" w:rsidRDefault="00282630" w:rsidP="00282630">
      <w:pPr>
        <w:spacing w:line="480" w:lineRule="auto"/>
        <w:rPr>
          <w:b/>
          <w:bCs/>
          <w:lang w:val="en-CA"/>
        </w:rPr>
      </w:pPr>
      <w:r w:rsidRPr="00AC7465">
        <w:rPr>
          <w:b/>
          <w:bCs/>
          <w:lang w:val="en-CA"/>
        </w:rPr>
        <w:lastRenderedPageBreak/>
        <w:t>Supplemental Methods</w:t>
      </w:r>
    </w:p>
    <w:p w14:paraId="3BC966D4" w14:textId="77777777" w:rsidR="00282630" w:rsidRPr="00AC7465" w:rsidRDefault="00282630" w:rsidP="00282630">
      <w:pPr>
        <w:spacing w:line="480" w:lineRule="auto"/>
        <w:rPr>
          <w:b/>
          <w:bCs/>
          <w:lang w:val="en-CA"/>
        </w:rPr>
      </w:pPr>
    </w:p>
    <w:p w14:paraId="387ABA09" w14:textId="77777777" w:rsidR="00282630" w:rsidRPr="00AC7465" w:rsidRDefault="00282630" w:rsidP="00282630">
      <w:pPr>
        <w:spacing w:line="480" w:lineRule="auto"/>
        <w:outlineLvl w:val="0"/>
        <w:rPr>
          <w:b/>
          <w:iCs/>
          <w:color w:val="000000" w:themeColor="text1"/>
          <w:lang w:val="en-CA"/>
        </w:rPr>
      </w:pPr>
      <w:r w:rsidRPr="00AC7465">
        <w:rPr>
          <w:b/>
          <w:iCs/>
          <w:color w:val="000000" w:themeColor="text1"/>
          <w:lang w:val="en-CA"/>
        </w:rPr>
        <w:t>Genetic Analysis</w:t>
      </w:r>
    </w:p>
    <w:p w14:paraId="573FAC75" w14:textId="77777777" w:rsidR="00282630" w:rsidRPr="00AC7465" w:rsidRDefault="00282630" w:rsidP="00282630">
      <w:pPr>
        <w:spacing w:line="480" w:lineRule="auto"/>
        <w:ind w:firstLine="720"/>
        <w:rPr>
          <w:b/>
          <w:bCs/>
          <w:lang w:val="en-CA"/>
        </w:rPr>
      </w:pPr>
      <w:r w:rsidRPr="00AC7465">
        <w:rPr>
          <w:color w:val="000000" w:themeColor="text1"/>
          <w:lang w:val="en-CA"/>
        </w:rPr>
        <w:t xml:space="preserve">Pathogenic variants in </w:t>
      </w:r>
      <w:r w:rsidRPr="00AC7465">
        <w:rPr>
          <w:i/>
          <w:color w:val="000000" w:themeColor="text1"/>
          <w:lang w:val="en-CA"/>
        </w:rPr>
        <w:t>POLR3A</w:t>
      </w:r>
      <w:r w:rsidRPr="00AC7465">
        <w:rPr>
          <w:color w:val="000000" w:themeColor="text1"/>
          <w:lang w:val="en-CA"/>
        </w:rPr>
        <w:t xml:space="preserve"> were assigned by the </w:t>
      </w:r>
      <w:proofErr w:type="spellStart"/>
      <w:r w:rsidRPr="00AC7465">
        <w:rPr>
          <w:color w:val="000000" w:themeColor="text1"/>
          <w:lang w:val="en-CA"/>
        </w:rPr>
        <w:t>RefSeq</w:t>
      </w:r>
      <w:proofErr w:type="spellEnd"/>
      <w:r w:rsidRPr="00AC7465">
        <w:rPr>
          <w:color w:val="000000" w:themeColor="text1"/>
          <w:lang w:val="en-CA"/>
        </w:rPr>
        <w:t xml:space="preserve"> sequence NM_007055.3, and the </w:t>
      </w:r>
      <w:proofErr w:type="spellStart"/>
      <w:r w:rsidRPr="00AC7465">
        <w:rPr>
          <w:color w:val="000000" w:themeColor="text1"/>
          <w:lang w:val="en-CA"/>
        </w:rPr>
        <w:t>ClinVar</w:t>
      </w:r>
      <w:proofErr w:type="spellEnd"/>
      <w:r w:rsidRPr="00AC7465">
        <w:rPr>
          <w:color w:val="000000" w:themeColor="text1"/>
          <w:lang w:val="en-CA"/>
        </w:rPr>
        <w:t xml:space="preserve"> accession numbers are as follows: </w:t>
      </w:r>
      <w:r w:rsidRPr="00AC7465">
        <w:rPr>
          <w:rFonts w:eastAsiaTheme="minorHAnsi"/>
          <w:lang w:val="en-CA"/>
        </w:rPr>
        <w:t>SCV000987272, SCV000987273, SCV000987274, SCV000987275, SCV000987276, and SCV000987277.</w:t>
      </w:r>
    </w:p>
    <w:p w14:paraId="40C7DF64" w14:textId="77777777" w:rsidR="00282630" w:rsidRPr="00AC7465" w:rsidRDefault="00282630" w:rsidP="00282630">
      <w:pPr>
        <w:spacing w:line="480" w:lineRule="auto"/>
        <w:rPr>
          <w:lang w:val="en-CA"/>
        </w:rPr>
      </w:pPr>
    </w:p>
    <w:p w14:paraId="4ED1E5D4" w14:textId="77777777" w:rsidR="00282630" w:rsidRPr="00AC7465" w:rsidRDefault="00282630" w:rsidP="00282630">
      <w:pPr>
        <w:spacing w:line="480" w:lineRule="auto"/>
        <w:rPr>
          <w:b/>
          <w:bCs/>
          <w:lang w:val="en-CA"/>
        </w:rPr>
      </w:pPr>
      <w:r w:rsidRPr="00AC7465">
        <w:rPr>
          <w:b/>
          <w:bCs/>
          <w:lang w:val="en-CA"/>
        </w:rPr>
        <w:t>Neuropathology</w:t>
      </w:r>
    </w:p>
    <w:p w14:paraId="656AE26F" w14:textId="77777777" w:rsidR="00282630" w:rsidRPr="00AC7465" w:rsidRDefault="00282630" w:rsidP="00282630">
      <w:pPr>
        <w:spacing w:line="480" w:lineRule="auto"/>
        <w:ind w:firstLine="720"/>
        <w:rPr>
          <w:color w:val="000000" w:themeColor="text1"/>
          <w:lang w:val="en-CA"/>
        </w:rPr>
      </w:pPr>
      <w:r w:rsidRPr="00AC7465">
        <w:rPr>
          <w:color w:val="000000" w:themeColor="text1"/>
          <w:lang w:val="en-CA"/>
        </w:rPr>
        <w:t>Tissues were analyzed initially during autopsy, followed by a second specialized neuropathological examination. During autopsy, the right cerebral hemisphere was fixed in 20% formalin for 2 weeks prior to coronal sectioning, and the left cerebral hemisphere was frozen for research. Fixed tissue was processed on a Leica ASP300 automated processor using standard protocols, and routine histologic sections were obtained at 4 µm</w:t>
      </w:r>
      <w:r w:rsidRPr="00AC7465" w:rsidDel="006B5929">
        <w:rPr>
          <w:color w:val="000000" w:themeColor="text1"/>
          <w:lang w:val="en-CA"/>
        </w:rPr>
        <w:t xml:space="preserve"> </w:t>
      </w:r>
      <w:r w:rsidRPr="00AC7465">
        <w:rPr>
          <w:color w:val="000000" w:themeColor="text1"/>
          <w:lang w:val="en-CA"/>
        </w:rPr>
        <w:t xml:space="preserve">thickness. Sections were stained with Hematoxylin and Eosin on a Leica H&amp;E </w:t>
      </w:r>
      <w:proofErr w:type="spellStart"/>
      <w:r w:rsidRPr="00AC7465">
        <w:rPr>
          <w:color w:val="000000" w:themeColor="text1"/>
          <w:lang w:val="en-CA"/>
        </w:rPr>
        <w:t>stainer</w:t>
      </w:r>
      <w:proofErr w:type="spellEnd"/>
      <w:r w:rsidRPr="00AC7465">
        <w:rPr>
          <w:color w:val="000000" w:themeColor="text1"/>
          <w:lang w:val="en-CA"/>
        </w:rPr>
        <w:t xml:space="preserve">, and CD68 stain was completed using the Ventana Benchmark automated immunohistochemistry </w:t>
      </w:r>
      <w:proofErr w:type="spellStart"/>
      <w:r w:rsidRPr="00AC7465">
        <w:rPr>
          <w:color w:val="000000" w:themeColor="text1"/>
          <w:lang w:val="en-CA"/>
        </w:rPr>
        <w:t>stainer</w:t>
      </w:r>
      <w:proofErr w:type="spellEnd"/>
      <w:r w:rsidRPr="00AC7465">
        <w:rPr>
          <w:color w:val="000000" w:themeColor="text1"/>
          <w:lang w:val="en-CA"/>
        </w:rPr>
        <w:t xml:space="preserve"> using Ventana anti-CD68 (KP-1) antibody. </w:t>
      </w:r>
      <w:proofErr w:type="spellStart"/>
      <w:r w:rsidRPr="00AC7465">
        <w:rPr>
          <w:color w:val="000000" w:themeColor="text1"/>
          <w:lang w:val="en-CA"/>
        </w:rPr>
        <w:t>Luxol</w:t>
      </w:r>
      <w:proofErr w:type="spellEnd"/>
      <w:r w:rsidRPr="00AC7465">
        <w:rPr>
          <w:color w:val="000000" w:themeColor="text1"/>
          <w:lang w:val="en-CA"/>
        </w:rPr>
        <w:t xml:space="preserve"> fast blue staining, Periodic acid Schiff staining, von </w:t>
      </w:r>
      <w:proofErr w:type="spellStart"/>
      <w:r w:rsidRPr="00AC7465">
        <w:rPr>
          <w:color w:val="000000" w:themeColor="text1"/>
          <w:lang w:val="en-CA"/>
        </w:rPr>
        <w:t>Kossa</w:t>
      </w:r>
      <w:proofErr w:type="spellEnd"/>
      <w:r w:rsidRPr="00AC7465">
        <w:rPr>
          <w:color w:val="000000" w:themeColor="text1"/>
          <w:lang w:val="en-CA"/>
        </w:rPr>
        <w:t xml:space="preserve"> calcium staining, and </w:t>
      </w:r>
      <w:proofErr w:type="spellStart"/>
      <w:r w:rsidRPr="00AC7465">
        <w:rPr>
          <w:color w:val="000000" w:themeColor="text1"/>
          <w:lang w:val="en-CA"/>
        </w:rPr>
        <w:t>Bielschowsky</w:t>
      </w:r>
      <w:proofErr w:type="spellEnd"/>
      <w:r w:rsidRPr="00AC7465">
        <w:rPr>
          <w:color w:val="000000" w:themeColor="text1"/>
          <w:lang w:val="en-CA"/>
        </w:rPr>
        <w:t xml:space="preserve"> staining were also completed. </w:t>
      </w:r>
    </w:p>
    <w:p w14:paraId="507DB628" w14:textId="77777777" w:rsidR="00282630" w:rsidRPr="00AC7465" w:rsidRDefault="00282630" w:rsidP="00282630">
      <w:pPr>
        <w:spacing w:line="480" w:lineRule="auto"/>
        <w:ind w:firstLine="720"/>
        <w:rPr>
          <w:color w:val="000000" w:themeColor="text1"/>
          <w:lang w:val="en-CA"/>
        </w:rPr>
      </w:pPr>
      <w:r w:rsidRPr="00AC7465">
        <w:rPr>
          <w:color w:val="000000" w:themeColor="text1"/>
          <w:lang w:val="en-CA"/>
        </w:rPr>
        <w:t xml:space="preserve">For the second specialized neuropathological examination, tissue fragments were collected from the frontal, occipital and parietal white matter, basal ganglia (anterior region), cerebellum (cortex and dentate nucleus), </w:t>
      </w:r>
      <w:proofErr w:type="spellStart"/>
      <w:r w:rsidRPr="00AC7465">
        <w:rPr>
          <w:color w:val="000000" w:themeColor="text1"/>
          <w:lang w:val="en-CA"/>
        </w:rPr>
        <w:t>cingular</w:t>
      </w:r>
      <w:proofErr w:type="spellEnd"/>
      <w:r w:rsidRPr="00AC7465">
        <w:rPr>
          <w:color w:val="000000" w:themeColor="text1"/>
          <w:lang w:val="en-CA"/>
        </w:rPr>
        <w:t xml:space="preserve"> gyrus, centrum </w:t>
      </w:r>
      <w:proofErr w:type="spellStart"/>
      <w:r w:rsidRPr="00AC7465">
        <w:rPr>
          <w:color w:val="000000" w:themeColor="text1"/>
          <w:lang w:val="en-CA"/>
        </w:rPr>
        <w:t>ovale</w:t>
      </w:r>
      <w:proofErr w:type="spellEnd"/>
      <w:r w:rsidRPr="00AC7465">
        <w:rPr>
          <w:color w:val="000000" w:themeColor="text1"/>
          <w:lang w:val="en-CA"/>
        </w:rPr>
        <w:t xml:space="preserve">, and the corpus callosum (genu, body, and splenium). Sections were embedded in paraffin, cut at 7 µm thickness, and stained with </w:t>
      </w:r>
      <w:proofErr w:type="spellStart"/>
      <w:r w:rsidRPr="00AC7465">
        <w:rPr>
          <w:color w:val="000000" w:themeColor="text1"/>
          <w:lang w:val="en-CA"/>
        </w:rPr>
        <w:t>Hemalun-Phloxin</w:t>
      </w:r>
      <w:proofErr w:type="spellEnd"/>
      <w:r w:rsidRPr="00AC7465">
        <w:rPr>
          <w:color w:val="000000" w:themeColor="text1"/>
          <w:lang w:val="en-CA"/>
        </w:rPr>
        <w:t xml:space="preserve"> and </w:t>
      </w:r>
      <w:proofErr w:type="spellStart"/>
      <w:r w:rsidRPr="00AC7465">
        <w:rPr>
          <w:color w:val="000000" w:themeColor="text1"/>
          <w:lang w:val="en-CA"/>
        </w:rPr>
        <w:t>Luxol</w:t>
      </w:r>
      <w:proofErr w:type="spellEnd"/>
      <w:r w:rsidRPr="00AC7465">
        <w:rPr>
          <w:color w:val="000000" w:themeColor="text1"/>
          <w:lang w:val="en-CA"/>
        </w:rPr>
        <w:t>-Fast-Blue-</w:t>
      </w:r>
      <w:proofErr w:type="spellStart"/>
      <w:r w:rsidRPr="00AC7465">
        <w:rPr>
          <w:color w:val="000000" w:themeColor="text1"/>
          <w:lang w:val="en-CA"/>
        </w:rPr>
        <w:t>Cresyl</w:t>
      </w:r>
      <w:proofErr w:type="spellEnd"/>
      <w:r w:rsidRPr="00AC7465">
        <w:rPr>
          <w:color w:val="000000" w:themeColor="text1"/>
          <w:lang w:val="en-CA"/>
        </w:rPr>
        <w:t>-Violet (</w:t>
      </w:r>
      <w:proofErr w:type="spellStart"/>
      <w:r w:rsidRPr="00AC7465">
        <w:rPr>
          <w:color w:val="000000" w:themeColor="text1"/>
          <w:lang w:val="en-CA"/>
        </w:rPr>
        <w:t>Klüver</w:t>
      </w:r>
      <w:proofErr w:type="spellEnd"/>
      <w:r w:rsidRPr="00AC7465">
        <w:rPr>
          <w:color w:val="000000" w:themeColor="text1"/>
          <w:lang w:val="en-CA"/>
        </w:rPr>
        <w:t xml:space="preserve">-Barrera stain). Immunohistochemistry was also completed with antibodies for GFAP (Anti-Glial Fibrillary Acidic Protein, polyclonal rabbit antibody, DAKO), IBA1 (Anti-Ionized Calcium-Binding </w:t>
      </w:r>
      <w:r w:rsidRPr="00AC7465">
        <w:rPr>
          <w:color w:val="000000" w:themeColor="text1"/>
          <w:lang w:val="en-CA"/>
        </w:rPr>
        <w:lastRenderedPageBreak/>
        <w:t>Adapter Molecule 1, Wako (</w:t>
      </w:r>
      <w:proofErr w:type="spellStart"/>
      <w:r w:rsidRPr="00AC7465">
        <w:rPr>
          <w:color w:val="000000" w:themeColor="text1"/>
          <w:lang w:val="en-CA"/>
        </w:rPr>
        <w:t>Sodobis</w:t>
      </w:r>
      <w:proofErr w:type="spellEnd"/>
      <w:r w:rsidRPr="00AC7465">
        <w:rPr>
          <w:color w:val="000000" w:themeColor="text1"/>
          <w:lang w:val="en-CA"/>
        </w:rPr>
        <w:t xml:space="preserve">) lot PDK 6188), and SMI32 (Anti-Neurofilament non-phosphorylated, </w:t>
      </w:r>
      <w:proofErr w:type="spellStart"/>
      <w:r w:rsidRPr="00AC7465">
        <w:rPr>
          <w:color w:val="000000" w:themeColor="text1"/>
          <w:lang w:val="en-CA"/>
        </w:rPr>
        <w:t>Calbiochem</w:t>
      </w:r>
      <w:proofErr w:type="spellEnd"/>
      <w:r w:rsidRPr="00AC7465">
        <w:rPr>
          <w:color w:val="000000" w:themeColor="text1"/>
          <w:lang w:val="en-CA"/>
        </w:rPr>
        <w:t>).</w:t>
      </w:r>
    </w:p>
    <w:p w14:paraId="01C203B6" w14:textId="77777777" w:rsidR="00282630" w:rsidRPr="00AC7465" w:rsidRDefault="00282630" w:rsidP="00282630">
      <w:pPr>
        <w:spacing w:line="480" w:lineRule="auto"/>
        <w:ind w:firstLine="720"/>
        <w:rPr>
          <w:color w:val="000000" w:themeColor="text1"/>
          <w:lang w:val="en-CA"/>
        </w:rPr>
      </w:pPr>
    </w:p>
    <w:p w14:paraId="0B15152B" w14:textId="77777777" w:rsidR="00282630" w:rsidRPr="00AC7465" w:rsidRDefault="00282630" w:rsidP="00282630">
      <w:pPr>
        <w:spacing w:line="480" w:lineRule="auto"/>
        <w:rPr>
          <w:b/>
          <w:bCs/>
          <w:color w:val="000000" w:themeColor="text1"/>
          <w:lang w:val="en-CA"/>
        </w:rPr>
      </w:pPr>
      <w:r w:rsidRPr="00AC7465">
        <w:rPr>
          <w:b/>
          <w:bCs/>
          <w:color w:val="000000" w:themeColor="text1"/>
          <w:lang w:val="en-CA"/>
        </w:rPr>
        <w:t>Cell Culture and Cycloheximide Treatment</w:t>
      </w:r>
    </w:p>
    <w:p w14:paraId="42D9C101" w14:textId="7139CF62" w:rsidR="00282630" w:rsidRPr="00AC7465" w:rsidRDefault="00282630" w:rsidP="00282630">
      <w:pPr>
        <w:spacing w:line="480" w:lineRule="auto"/>
        <w:ind w:firstLine="720"/>
        <w:rPr>
          <w:color w:val="000000" w:themeColor="text1"/>
          <w:lang w:val="en-CA"/>
        </w:rPr>
      </w:pPr>
      <w:r w:rsidRPr="00AC7465">
        <w:rPr>
          <w:color w:val="000000" w:themeColor="text1"/>
          <w:lang w:val="en-CA"/>
        </w:rPr>
        <w:t>Primary fibroblasts derived from patient 2, as well as a control cell line, were cultured at 37</w:t>
      </w:r>
      <w:r w:rsidRPr="00AC7465">
        <w:rPr>
          <w:color w:val="000000" w:themeColor="text1"/>
          <w:lang w:val="en-CA"/>
        </w:rPr>
        <w:sym w:font="Symbol" w:char="F0B0"/>
      </w:r>
      <w:r w:rsidRPr="00AC7465">
        <w:rPr>
          <w:color w:val="000000" w:themeColor="text1"/>
          <w:lang w:val="en-CA"/>
        </w:rPr>
        <w:t>C under humidified 95% air and 5% CO</w:t>
      </w:r>
      <w:r w:rsidRPr="00AC7465">
        <w:rPr>
          <w:color w:val="000000" w:themeColor="text1"/>
          <w:vertAlign w:val="subscript"/>
          <w:lang w:val="en-CA"/>
        </w:rPr>
        <w:t>2</w:t>
      </w:r>
      <w:r w:rsidRPr="00AC7465">
        <w:rPr>
          <w:color w:val="000000" w:themeColor="text1"/>
          <w:lang w:val="en-CA"/>
        </w:rPr>
        <w:t xml:space="preserve"> in Dulbecco’s modified Eagle’s medium (DMEM, Wisent) supplemented with 10% fetal bovine serum (FBS, Wisent). Fibroblasts were plated in 6-well plates (0.5 million cells, samples in triplicate), and grown in the presence and absence of cycloheximide (CHX, 100 ng/µl) for 20 hours to inhibit translational elongation and downstream nonsense-mediated decay of variant transcripts </w:t>
      </w:r>
      <w:r w:rsidRPr="00AC7465">
        <w:rPr>
          <w:color w:val="000000" w:themeColor="text1"/>
          <w:lang w:val="en-CA"/>
        </w:rPr>
        <w:fldChar w:fldCharType="begin">
          <w:fldData xml:space="preserve">PEVuZE5vdGU+PENpdGU+PEF1dGhvcj5DYXJ0ZXI8L0F1dGhvcj48WWVhcj4xOTk1PC9ZZWFyPjxS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</w:fldData>
        </w:fldChar>
      </w:r>
      <w:r w:rsidR="0019139A" w:rsidRPr="00AC7465">
        <w:rPr>
          <w:color w:val="000000" w:themeColor="text1"/>
          <w:lang w:val="en-CA"/>
        </w:rPr>
        <w:instrText xml:space="preserve"> ADDIN EN.CITE </w:instrText>
      </w:r>
      <w:r w:rsidR="0019139A" w:rsidRPr="00AC7465">
        <w:rPr>
          <w:color w:val="000000" w:themeColor="text1"/>
          <w:lang w:val="en-CA"/>
        </w:rPr>
        <w:fldChar w:fldCharType="begin">
          <w:fldData xml:space="preserve">PEVuZE5vdGU+PENpdGU+PEF1dGhvcj5DYXJ0ZXI8L0F1dGhvcj48WWVhcj4xOTk1PC9ZZWFyPjxS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</w:fldData>
        </w:fldChar>
      </w:r>
      <w:r w:rsidR="0019139A" w:rsidRPr="00AC7465">
        <w:rPr>
          <w:color w:val="000000" w:themeColor="text1"/>
          <w:lang w:val="en-CA"/>
        </w:rPr>
        <w:instrText xml:space="preserve"> ADDIN EN.CITE.DATA </w:instrText>
      </w:r>
      <w:r w:rsidR="0019139A" w:rsidRPr="00AC7465">
        <w:rPr>
          <w:color w:val="000000" w:themeColor="text1"/>
          <w:lang w:val="en-CA"/>
        </w:rPr>
      </w:r>
      <w:r w:rsidR="0019139A" w:rsidRPr="00AC7465">
        <w:rPr>
          <w:color w:val="000000" w:themeColor="text1"/>
          <w:lang w:val="en-CA"/>
        </w:rPr>
        <w:fldChar w:fldCharType="end"/>
      </w:r>
      <w:r w:rsidRPr="00AC7465">
        <w:rPr>
          <w:color w:val="000000" w:themeColor="text1"/>
          <w:lang w:val="en-CA"/>
        </w:rPr>
      </w:r>
      <w:r w:rsidRPr="00AC7465">
        <w:rPr>
          <w:color w:val="000000" w:themeColor="text1"/>
          <w:lang w:val="en-CA"/>
        </w:rPr>
        <w:fldChar w:fldCharType="separate"/>
      </w:r>
      <w:r w:rsidR="0019139A" w:rsidRPr="00AC7465">
        <w:rPr>
          <w:noProof/>
          <w:color w:val="000000" w:themeColor="text1"/>
          <w:vertAlign w:val="superscript"/>
          <w:lang w:val="en-CA"/>
        </w:rPr>
        <w:t>1, 2</w:t>
      </w:r>
      <w:r w:rsidRPr="00AC7465">
        <w:rPr>
          <w:color w:val="000000" w:themeColor="text1"/>
          <w:lang w:val="en-CA"/>
        </w:rPr>
        <w:fldChar w:fldCharType="end"/>
      </w:r>
      <w:r w:rsidRPr="00AC7465">
        <w:rPr>
          <w:color w:val="000000" w:themeColor="text1"/>
          <w:lang w:val="en-CA"/>
        </w:rPr>
        <w:t>. RNA was isolated from each sample (</w:t>
      </w:r>
      <w:proofErr w:type="spellStart"/>
      <w:r w:rsidRPr="00AC7465">
        <w:rPr>
          <w:color w:val="000000" w:themeColor="text1"/>
          <w:lang w:val="en-CA"/>
        </w:rPr>
        <w:t>QIAamp</w:t>
      </w:r>
      <w:proofErr w:type="spellEnd"/>
      <w:r w:rsidRPr="00AC7465">
        <w:rPr>
          <w:color w:val="000000" w:themeColor="text1"/>
          <w:lang w:val="en-CA"/>
        </w:rPr>
        <w:t xml:space="preserve"> RNA Blood Mini Kit, Qiagen), and cDNA was </w:t>
      </w:r>
      <w:proofErr w:type="gramStart"/>
      <w:r w:rsidRPr="00AC7465">
        <w:rPr>
          <w:color w:val="000000" w:themeColor="text1"/>
          <w:lang w:val="en-CA"/>
        </w:rPr>
        <w:t>reverse-transcribed</w:t>
      </w:r>
      <w:proofErr w:type="gramEnd"/>
      <w:r w:rsidRPr="00AC7465">
        <w:rPr>
          <w:color w:val="000000" w:themeColor="text1"/>
          <w:lang w:val="en-CA"/>
        </w:rPr>
        <w:t xml:space="preserve"> from 500 ng of RNA (</w:t>
      </w:r>
      <w:proofErr w:type="spellStart"/>
      <w:r w:rsidRPr="00AC7465">
        <w:rPr>
          <w:color w:val="000000" w:themeColor="text1"/>
          <w:lang w:val="en-CA"/>
        </w:rPr>
        <w:t>BioRad</w:t>
      </w:r>
      <w:proofErr w:type="spellEnd"/>
      <w:r w:rsidRPr="00AC7465">
        <w:rPr>
          <w:color w:val="000000" w:themeColor="text1"/>
          <w:lang w:val="en-CA"/>
        </w:rPr>
        <w:t xml:space="preserve"> </w:t>
      </w:r>
      <w:proofErr w:type="spellStart"/>
      <w:r w:rsidRPr="00AC7465">
        <w:rPr>
          <w:color w:val="000000" w:themeColor="text1"/>
          <w:lang w:val="en-CA"/>
        </w:rPr>
        <w:t>iScript</w:t>
      </w:r>
      <w:proofErr w:type="spellEnd"/>
      <w:r w:rsidRPr="00AC7465">
        <w:rPr>
          <w:color w:val="000000" w:themeColor="text1"/>
          <w:lang w:val="en-CA"/>
        </w:rPr>
        <w:t xml:space="preserve"> Reverse Transcription </w:t>
      </w:r>
      <w:proofErr w:type="spellStart"/>
      <w:r w:rsidRPr="00AC7465">
        <w:rPr>
          <w:color w:val="000000" w:themeColor="text1"/>
          <w:lang w:val="en-CA"/>
        </w:rPr>
        <w:t>Supermix</w:t>
      </w:r>
      <w:proofErr w:type="spellEnd"/>
      <w:r w:rsidRPr="00AC7465">
        <w:rPr>
          <w:color w:val="000000" w:themeColor="text1"/>
          <w:lang w:val="en-CA"/>
        </w:rPr>
        <w:t xml:space="preserve">) following manufacturer’s protocols. PCR amplification was performed with primers in </w:t>
      </w:r>
      <w:r w:rsidRPr="00AC7465">
        <w:rPr>
          <w:i/>
          <w:color w:val="000000" w:themeColor="text1"/>
          <w:lang w:val="en-CA"/>
        </w:rPr>
        <w:t>POLR3A</w:t>
      </w:r>
      <w:r w:rsidRPr="00AC7465">
        <w:rPr>
          <w:color w:val="000000" w:themeColor="text1"/>
          <w:lang w:val="en-CA"/>
        </w:rPr>
        <w:t xml:space="preserve"> (exons 11 [</w:t>
      </w:r>
      <w:r w:rsidRPr="00AC7465">
        <w:rPr>
          <w:color w:val="000000"/>
          <w:lang w:val="en-CA"/>
        </w:rPr>
        <w:t xml:space="preserve">5'-CCACCGGACCTTCAGATTTA-3'] </w:t>
      </w:r>
      <w:r w:rsidRPr="00AC7465">
        <w:rPr>
          <w:color w:val="000000" w:themeColor="text1"/>
          <w:lang w:val="en-CA"/>
        </w:rPr>
        <w:t>and 15 [</w:t>
      </w:r>
      <w:r w:rsidRPr="00AC7465">
        <w:rPr>
          <w:color w:val="000000"/>
          <w:lang w:val="en-CA"/>
        </w:rPr>
        <w:t>5'-TGCCACTCATCAACTCACTG-3']</w:t>
      </w:r>
      <w:r w:rsidRPr="00AC7465">
        <w:rPr>
          <w:color w:val="000000" w:themeColor="text1"/>
          <w:lang w:val="en-CA"/>
        </w:rPr>
        <w:t>), as well as β-</w:t>
      </w:r>
      <w:proofErr w:type="spellStart"/>
      <w:r w:rsidRPr="00AC7465">
        <w:rPr>
          <w:color w:val="000000" w:themeColor="text1"/>
          <w:lang w:val="en-CA"/>
        </w:rPr>
        <w:t>actin</w:t>
      </w:r>
      <w:proofErr w:type="spellEnd"/>
      <w:r w:rsidRPr="00AC7465">
        <w:rPr>
          <w:color w:val="000000" w:themeColor="text1"/>
          <w:lang w:val="en-CA"/>
        </w:rPr>
        <w:t xml:space="preserve"> as a loading control (exons 1 [</w:t>
      </w:r>
      <w:r w:rsidRPr="00AC7465">
        <w:rPr>
          <w:color w:val="000000"/>
          <w:lang w:val="en-CA"/>
        </w:rPr>
        <w:t xml:space="preserve">5'-GCTCGTCGTCGACAACGGCTC-3'] </w:t>
      </w:r>
      <w:r w:rsidRPr="00AC7465">
        <w:rPr>
          <w:color w:val="000000" w:themeColor="text1"/>
          <w:lang w:val="en-CA"/>
        </w:rPr>
        <w:t>and 2 [</w:t>
      </w:r>
      <w:r w:rsidRPr="00AC7465">
        <w:rPr>
          <w:color w:val="000000"/>
          <w:lang w:val="en-CA"/>
        </w:rPr>
        <w:t>5'-CAAACATGATCTGGGTCATCTTCTC-3']</w:t>
      </w:r>
      <w:r w:rsidRPr="00AC7465">
        <w:rPr>
          <w:color w:val="000000" w:themeColor="text1"/>
          <w:lang w:val="en-CA"/>
        </w:rPr>
        <w:t>), using the following PCR cycling conditions: 95</w:t>
      </w:r>
      <w:r w:rsidRPr="00AC7465">
        <w:rPr>
          <w:color w:val="000000" w:themeColor="text1"/>
          <w:lang w:val="en-CA"/>
        </w:rPr>
        <w:sym w:font="Symbol" w:char="F0B0"/>
      </w:r>
      <w:r w:rsidRPr="00AC7465">
        <w:rPr>
          <w:color w:val="000000" w:themeColor="text1"/>
          <w:lang w:val="en-CA"/>
        </w:rPr>
        <w:t>C for 10 minutes, followed by 40 cycles of [95</w:t>
      </w:r>
      <w:r w:rsidRPr="00AC7465">
        <w:rPr>
          <w:color w:val="000000" w:themeColor="text1"/>
          <w:lang w:val="en-CA"/>
        </w:rPr>
        <w:sym w:font="Symbol" w:char="F0B0"/>
      </w:r>
      <w:r w:rsidRPr="00AC7465">
        <w:rPr>
          <w:color w:val="000000" w:themeColor="text1"/>
          <w:lang w:val="en-CA"/>
        </w:rPr>
        <w:t>C for 15 seconds, 58</w:t>
      </w:r>
      <w:r w:rsidRPr="00AC7465">
        <w:rPr>
          <w:color w:val="000000" w:themeColor="text1"/>
          <w:lang w:val="en-CA"/>
        </w:rPr>
        <w:sym w:font="Symbol" w:char="F0B0"/>
      </w:r>
      <w:r w:rsidRPr="00AC7465">
        <w:rPr>
          <w:color w:val="000000" w:themeColor="text1"/>
          <w:lang w:val="en-CA"/>
        </w:rPr>
        <w:t>C for 20 seconds, and 72</w:t>
      </w:r>
      <w:r w:rsidRPr="00AC7465">
        <w:rPr>
          <w:color w:val="000000" w:themeColor="text1"/>
          <w:lang w:val="en-CA"/>
        </w:rPr>
        <w:sym w:font="Symbol" w:char="F0B0"/>
      </w:r>
      <w:r w:rsidRPr="00AC7465">
        <w:rPr>
          <w:color w:val="000000" w:themeColor="text1"/>
          <w:lang w:val="en-CA"/>
        </w:rPr>
        <w:t>C for 45 seconds], and 72</w:t>
      </w:r>
      <w:r w:rsidRPr="00AC7465">
        <w:rPr>
          <w:color w:val="000000" w:themeColor="text1"/>
          <w:lang w:val="en-CA"/>
        </w:rPr>
        <w:sym w:font="Symbol" w:char="F0B0"/>
      </w:r>
      <w:r w:rsidRPr="00AC7465">
        <w:rPr>
          <w:color w:val="000000" w:themeColor="text1"/>
          <w:lang w:val="en-CA"/>
        </w:rPr>
        <w:t>C for 10 minutes. PCR products were then separated using agarose gel electrophoresis (2.5% agarose gel; 120V, 30 minutes). Gel imaging was completed using the Gel Doc EZ System (</w:t>
      </w:r>
      <w:proofErr w:type="spellStart"/>
      <w:r w:rsidRPr="00AC7465">
        <w:rPr>
          <w:color w:val="000000" w:themeColor="text1"/>
          <w:lang w:val="en-CA"/>
        </w:rPr>
        <w:t>BioRad</w:t>
      </w:r>
      <w:proofErr w:type="spellEnd"/>
      <w:r w:rsidRPr="00AC7465">
        <w:rPr>
          <w:color w:val="000000" w:themeColor="text1"/>
          <w:lang w:val="en-CA"/>
        </w:rPr>
        <w:t xml:space="preserve">) using </w:t>
      </w:r>
      <w:proofErr w:type="spellStart"/>
      <w:r w:rsidRPr="00AC7465">
        <w:rPr>
          <w:iCs/>
          <w:color w:val="000000" w:themeColor="text1"/>
          <w:lang w:val="en-CA"/>
        </w:rPr>
        <w:t>ImageLab</w:t>
      </w:r>
      <w:proofErr w:type="spellEnd"/>
      <w:r w:rsidRPr="00AC7465">
        <w:rPr>
          <w:iCs/>
          <w:color w:val="000000" w:themeColor="text1"/>
          <w:lang w:val="en-CA"/>
        </w:rPr>
        <w:t xml:space="preserve"> Software </w:t>
      </w:r>
      <w:r w:rsidRPr="00AC7465">
        <w:rPr>
          <w:color w:val="000000" w:themeColor="text1"/>
          <w:lang w:val="en-CA"/>
        </w:rPr>
        <w:t>(</w:t>
      </w:r>
      <w:proofErr w:type="spellStart"/>
      <w:r w:rsidRPr="00AC7465">
        <w:rPr>
          <w:color w:val="000000" w:themeColor="text1"/>
          <w:lang w:val="en-CA"/>
        </w:rPr>
        <w:t>BioRad</w:t>
      </w:r>
      <w:proofErr w:type="spellEnd"/>
      <w:r w:rsidRPr="00AC7465">
        <w:rPr>
          <w:color w:val="000000" w:themeColor="text1"/>
          <w:lang w:val="en-CA"/>
        </w:rPr>
        <w:t>, Version 6.0.1). Visible bands were excised, products were extracted and purified (</w:t>
      </w:r>
      <w:proofErr w:type="spellStart"/>
      <w:r w:rsidRPr="00AC7465">
        <w:rPr>
          <w:color w:val="000000" w:themeColor="text1"/>
          <w:lang w:val="en-CA"/>
        </w:rPr>
        <w:t>QIAquick</w:t>
      </w:r>
      <w:proofErr w:type="spellEnd"/>
      <w:r w:rsidRPr="00AC7465">
        <w:rPr>
          <w:color w:val="000000" w:themeColor="text1"/>
          <w:lang w:val="en-CA"/>
        </w:rPr>
        <w:t xml:space="preserve"> Gel Extraction kit), and Sanger sequencing was performed to characterize the differentially spliced mRNAs. </w:t>
      </w:r>
    </w:p>
    <w:p w14:paraId="51D5C5CE" w14:textId="77777777" w:rsidR="00AC7465" w:rsidRPr="00AC7465" w:rsidRDefault="00AC7465" w:rsidP="00282630">
      <w:pPr>
        <w:spacing w:line="480" w:lineRule="auto"/>
        <w:ind w:firstLine="720"/>
        <w:rPr>
          <w:b/>
          <w:bCs/>
          <w:color w:val="000000" w:themeColor="text1"/>
          <w:lang w:val="en-CA"/>
        </w:rPr>
      </w:pPr>
    </w:p>
    <w:p w14:paraId="36CE1E8B" w14:textId="77777777" w:rsidR="00282630" w:rsidRPr="00AC7465" w:rsidRDefault="00282630" w:rsidP="00282630">
      <w:pPr>
        <w:spacing w:line="480" w:lineRule="auto"/>
        <w:rPr>
          <w:b/>
          <w:bCs/>
          <w:color w:val="000000" w:themeColor="text1"/>
          <w:lang w:val="en-CA"/>
        </w:rPr>
      </w:pPr>
      <w:r w:rsidRPr="00AC7465">
        <w:rPr>
          <w:b/>
          <w:bCs/>
          <w:color w:val="000000" w:themeColor="text1"/>
          <w:lang w:val="en-CA"/>
        </w:rPr>
        <w:lastRenderedPageBreak/>
        <w:t>Western Blot</w:t>
      </w:r>
    </w:p>
    <w:p w14:paraId="1C76873A" w14:textId="77777777" w:rsidR="00282630" w:rsidRPr="00AC7465" w:rsidRDefault="00282630" w:rsidP="00282630">
      <w:pPr>
        <w:widowControl w:val="0"/>
        <w:snapToGrid w:val="0"/>
        <w:spacing w:line="480" w:lineRule="auto"/>
        <w:ind w:firstLine="720"/>
        <w:rPr>
          <w:color w:val="000000" w:themeColor="text1"/>
          <w:lang w:val="en-CA"/>
        </w:rPr>
      </w:pPr>
      <w:r w:rsidRPr="00AC7465">
        <w:rPr>
          <w:iCs/>
          <w:color w:val="000000" w:themeColor="text1"/>
          <w:lang w:val="en-CA"/>
        </w:rPr>
        <w:t xml:space="preserve">Western blotting was completed with protein extracts from independent samples of cortical grey matter or subcortical white matter of patient 2 and an age/sex matched control. Control brain tissue was collected in the context of surgery for intractable epilepsy associated with </w:t>
      </w:r>
      <w:r w:rsidRPr="00AC7465">
        <w:rPr>
          <w:i/>
          <w:iCs/>
          <w:color w:val="000000" w:themeColor="text1"/>
          <w:lang w:val="en-CA"/>
        </w:rPr>
        <w:t>PIK3CA</w:t>
      </w:r>
      <w:r w:rsidRPr="00AC7465">
        <w:rPr>
          <w:iCs/>
          <w:color w:val="000000" w:themeColor="text1"/>
          <w:lang w:val="en-CA"/>
        </w:rPr>
        <w:t xml:space="preserve"> mosaicism in a 14-month old girl with </w:t>
      </w:r>
      <w:proofErr w:type="spellStart"/>
      <w:r w:rsidRPr="00AC7465">
        <w:rPr>
          <w:iCs/>
          <w:color w:val="000000" w:themeColor="text1"/>
          <w:lang w:val="en-CA"/>
        </w:rPr>
        <w:t>hemimegalencephaly</w:t>
      </w:r>
      <w:proofErr w:type="spellEnd"/>
      <w:r w:rsidRPr="00AC7465">
        <w:rPr>
          <w:iCs/>
          <w:color w:val="000000" w:themeColor="text1"/>
          <w:lang w:val="en-CA"/>
        </w:rPr>
        <w:t xml:space="preserve">. Protein lysates were prepared from brain tissues extracted in standard </w:t>
      </w:r>
      <w:proofErr w:type="spellStart"/>
      <w:r w:rsidRPr="00AC7465">
        <w:rPr>
          <w:iCs/>
          <w:color w:val="000000" w:themeColor="text1"/>
          <w:lang w:val="en-CA"/>
        </w:rPr>
        <w:t>radioassay</w:t>
      </w:r>
      <w:proofErr w:type="spellEnd"/>
      <w:r w:rsidRPr="00AC7465">
        <w:rPr>
          <w:iCs/>
          <w:color w:val="000000" w:themeColor="text1"/>
          <w:lang w:val="en-CA"/>
        </w:rPr>
        <w:t xml:space="preserve"> immunoprecipitation (RIPA) buffer (Thermo Scientific Pierce #89901) containing protease inhibitors (Sigma </w:t>
      </w:r>
      <w:proofErr w:type="spellStart"/>
      <w:r w:rsidRPr="00AC7465">
        <w:rPr>
          <w:iCs/>
          <w:color w:val="000000" w:themeColor="text1"/>
          <w:lang w:val="en-CA"/>
        </w:rPr>
        <w:t>cOmplete</w:t>
      </w:r>
      <w:proofErr w:type="spellEnd"/>
      <w:r w:rsidRPr="00AC7465">
        <w:rPr>
          <w:iCs/>
          <w:color w:val="000000" w:themeColor="text1"/>
          <w:lang w:val="en-CA"/>
        </w:rPr>
        <w:t xml:space="preserve"> EDTA-free protease inhibitor cocktail #4693132001) for 30 minutes, and lysates were sonicated for 2.5 minutes in ten second bursts with 10 seconds rest. Protein concentrations were determined using the Bradford assay and normalized correspondingly </w:t>
      </w:r>
      <w:r w:rsidRPr="00AC7465">
        <w:rPr>
          <w:iCs/>
          <w:color w:val="000000" w:themeColor="text1"/>
          <w:lang w:val="en-CA"/>
        </w:rPr>
        <w:fldChar w:fldCharType="begin"/>
      </w:r>
      <w:r w:rsidRPr="00AC7465">
        <w:rPr>
          <w:iCs/>
          <w:color w:val="000000" w:themeColor="text1"/>
          <w:lang w:val="en-CA"/>
        </w:rPr>
        <w:instrText xml:space="preserve"> ADDIN EN.CITE &lt;EndNote&gt;&lt;Cite&gt;&lt;Author&gt;Bradford&lt;/Author&gt;&lt;Year&gt;1976&lt;/Year&gt;&lt;RecNum&gt;127&lt;/RecNum&gt;&lt;DisplayText&gt;&lt;style face="superscript"&gt;3&lt;/style&gt;&lt;/DisplayText&gt;&lt;record&gt;&lt;rec-number&gt;127&lt;/rec-number&gt;&lt;foreign-keys&gt;&lt;key app="EN" db-id="wz0wsdtardspewewwftxzxezdw5as50ptxd5" timestamp="1572366640"&gt;127&lt;/key&gt;&lt;/foreign-keys&gt;&lt;ref-type name="Journal Article"&gt;17&lt;/ref-type&gt;&lt;contributors&gt;&lt;authors&gt;&lt;author&gt;Bradford, M. M.&lt;/author&gt;&lt;/authors&gt;&lt;/contributors&gt;&lt;titles&gt;&lt;title&gt;A rapid and sensitive method for the quantitation of microgram quantities of protein utilizing the principle of protein-dye binding&lt;/title&gt;&lt;secondary-title&gt;Anal Biochem&lt;/secondary-title&gt;&lt;/titles&gt;&lt;periodical&gt;&lt;full-title&gt;Anal Biochem&lt;/full-title&gt;&lt;/periodical&gt;&lt;pages&gt;248-54&lt;/pages&gt;&lt;volume&gt;72&lt;/volume&gt;&lt;edition&gt;1976/05/07&lt;/edition&gt;&lt;keywords&gt;&lt;keyword&gt;Binding Sites&lt;/keyword&gt;&lt;keyword&gt;Colorimetry&lt;/keyword&gt;&lt;keyword&gt;Methods&lt;/keyword&gt;&lt;keyword&gt;Microchemistry&lt;/keyword&gt;&lt;keyword&gt;Protein Binding&lt;/keyword&gt;&lt;keyword&gt;Proteins/*analysis&lt;/keyword&gt;&lt;keyword&gt;Rosaniline Dyes&lt;/keyword&gt;&lt;keyword&gt;Time Factors&lt;/keyword&gt;&lt;/keywords&gt;&lt;dates&gt;&lt;year&gt;1976&lt;/year&gt;&lt;pub-dates&gt;&lt;date&gt;May 7&lt;/date&gt;&lt;/pub-dates&gt;&lt;/dates&gt;&lt;isbn&gt;0003-2697 (Print)&amp;#xD;0003-2697 (Linking)&lt;/isbn&gt;&lt;accession-num&gt;942051&lt;/accession-num&gt;&lt;urls&gt;&lt;related-urls&gt;&lt;url&gt;https://www.ncbi.nlm.nih.gov/pubmed/942051&lt;/url&gt;&lt;/related-urls&gt;&lt;/urls&gt;&lt;electronic-resource-num&gt;10.1006/abio.1976.9999&lt;/electronic-resource-num&gt;&lt;/record&gt;&lt;/Cite&gt;&lt;/EndNote&gt;</w:instrText>
      </w:r>
      <w:r w:rsidRPr="00AC7465">
        <w:rPr>
          <w:iCs/>
          <w:color w:val="000000" w:themeColor="text1"/>
          <w:lang w:val="en-CA"/>
        </w:rPr>
        <w:fldChar w:fldCharType="separate"/>
      </w:r>
      <w:r w:rsidRPr="00AC7465">
        <w:rPr>
          <w:iCs/>
          <w:noProof/>
          <w:color w:val="000000" w:themeColor="text1"/>
          <w:vertAlign w:val="superscript"/>
          <w:lang w:val="en-CA"/>
        </w:rPr>
        <w:t>3</w:t>
      </w:r>
      <w:r w:rsidRPr="00AC7465">
        <w:rPr>
          <w:iCs/>
          <w:color w:val="000000" w:themeColor="text1"/>
          <w:lang w:val="en-CA"/>
        </w:rPr>
        <w:fldChar w:fldCharType="end"/>
      </w:r>
      <w:r w:rsidRPr="00AC7465">
        <w:rPr>
          <w:iCs/>
          <w:color w:val="000000" w:themeColor="text1"/>
          <w:lang w:val="en-CA"/>
        </w:rPr>
        <w:t xml:space="preserve">. Normalized lysates were combined in </w:t>
      </w:r>
      <w:proofErr w:type="spellStart"/>
      <w:r w:rsidRPr="00AC7465">
        <w:rPr>
          <w:iCs/>
          <w:color w:val="000000" w:themeColor="text1"/>
          <w:lang w:val="en-CA"/>
        </w:rPr>
        <w:t>Laemmli</w:t>
      </w:r>
      <w:proofErr w:type="spellEnd"/>
      <w:r w:rsidRPr="00AC7465">
        <w:rPr>
          <w:iCs/>
          <w:color w:val="000000" w:themeColor="text1"/>
          <w:lang w:val="en-CA"/>
        </w:rPr>
        <w:t xml:space="preserve"> buffer and electrophoresed using standard sodium dodecyl sulfate-polyacrylamide gel electrophoresis (SDS-PAGE) techniques on 1.5 mm, 7.5% tris-glycine gels and blotted onto polyvinylidene difluoride (PVDF) membrane using a standard semi-dry protein-transfer at 25V, 2.5A for 10 minutes (</w:t>
      </w:r>
      <w:proofErr w:type="spellStart"/>
      <w:r w:rsidRPr="00AC7465">
        <w:rPr>
          <w:iCs/>
          <w:color w:val="000000" w:themeColor="text1"/>
          <w:lang w:val="en-CA"/>
        </w:rPr>
        <w:t>Biorad</w:t>
      </w:r>
      <w:proofErr w:type="spellEnd"/>
      <w:r w:rsidRPr="00AC7465">
        <w:rPr>
          <w:iCs/>
          <w:color w:val="000000" w:themeColor="text1"/>
          <w:lang w:val="en-CA"/>
        </w:rPr>
        <w:t xml:space="preserve"> Trans-Blot Turbo Transfer System). Immunoblots were incubated with a primary antibody targeted to the POLR3A amino acid residues </w:t>
      </w:r>
      <w:r w:rsidRPr="00AC7465">
        <w:rPr>
          <w:color w:val="000000" w:themeColor="text1"/>
          <w:lang w:val="en-CA"/>
        </w:rPr>
        <w:t xml:space="preserve">607-698 (Anti-POLR3A rabbit polyclonal antibody [Abcam ab247007]; 0.4 ug/mL), or with β-tubulin as a loading control (Anti-tubulin mouse polyclonal antibody [Sigma, T8328]; dilution 1:2000), with goat anti-rabbit </w:t>
      </w:r>
      <w:r w:rsidRPr="00AC7465">
        <w:rPr>
          <w:iCs/>
          <w:color w:val="000000" w:themeColor="text1"/>
          <w:lang w:val="en-CA"/>
        </w:rPr>
        <w:t>(dilution 1:5000)</w:t>
      </w:r>
      <w:r w:rsidRPr="00AC7465">
        <w:rPr>
          <w:color w:val="000000" w:themeColor="text1"/>
          <w:lang w:val="en-CA"/>
        </w:rPr>
        <w:t xml:space="preserve"> or goat anti-mouse (dilution </w:t>
      </w:r>
      <w:r w:rsidRPr="00AC7465">
        <w:rPr>
          <w:iCs/>
          <w:color w:val="000000" w:themeColor="text1"/>
          <w:lang w:val="en-CA"/>
        </w:rPr>
        <w:t xml:space="preserve">1:10000) </w:t>
      </w:r>
      <w:r w:rsidRPr="00AC7465">
        <w:rPr>
          <w:color w:val="000000" w:themeColor="text1"/>
          <w:lang w:val="en-CA"/>
        </w:rPr>
        <w:t xml:space="preserve">secondary antibodies. </w:t>
      </w:r>
      <w:r w:rsidRPr="00AC7465">
        <w:rPr>
          <w:iCs/>
          <w:color w:val="000000" w:themeColor="text1"/>
          <w:lang w:val="en-CA"/>
        </w:rPr>
        <w:t xml:space="preserve">Blots were incubated with enhanced chemiluminescent substrate (ECL Prime, Amersham) for 5 minutes and imaged on a </w:t>
      </w:r>
      <w:proofErr w:type="spellStart"/>
      <w:r w:rsidRPr="00AC7465">
        <w:rPr>
          <w:iCs/>
          <w:color w:val="000000" w:themeColor="text1"/>
          <w:lang w:val="en-CA"/>
        </w:rPr>
        <w:t>Chemidoc</w:t>
      </w:r>
      <w:proofErr w:type="spellEnd"/>
      <w:r w:rsidRPr="00AC7465">
        <w:rPr>
          <w:iCs/>
          <w:color w:val="000000" w:themeColor="text1"/>
          <w:lang w:val="en-CA"/>
        </w:rPr>
        <w:t xml:space="preserve"> XRS+ Imaging System (</w:t>
      </w:r>
      <w:proofErr w:type="spellStart"/>
      <w:r w:rsidRPr="00AC7465">
        <w:rPr>
          <w:iCs/>
          <w:color w:val="000000" w:themeColor="text1"/>
          <w:lang w:val="en-CA"/>
        </w:rPr>
        <w:t>Biorad</w:t>
      </w:r>
      <w:proofErr w:type="spellEnd"/>
      <w:r w:rsidRPr="00AC7465">
        <w:rPr>
          <w:iCs/>
          <w:color w:val="000000" w:themeColor="text1"/>
          <w:lang w:val="en-CA"/>
        </w:rPr>
        <w:t xml:space="preserve">) using </w:t>
      </w:r>
      <w:proofErr w:type="spellStart"/>
      <w:r w:rsidRPr="00AC7465">
        <w:rPr>
          <w:iCs/>
          <w:color w:val="000000" w:themeColor="text1"/>
          <w:lang w:val="en-CA"/>
        </w:rPr>
        <w:t>ImageLab</w:t>
      </w:r>
      <w:proofErr w:type="spellEnd"/>
      <w:r w:rsidRPr="00AC7465">
        <w:rPr>
          <w:iCs/>
          <w:color w:val="000000" w:themeColor="text1"/>
          <w:lang w:val="en-CA"/>
        </w:rPr>
        <w:t xml:space="preserve"> Software </w:t>
      </w:r>
      <w:r w:rsidRPr="00AC7465">
        <w:rPr>
          <w:color w:val="000000" w:themeColor="text1"/>
          <w:lang w:val="en-CA"/>
        </w:rPr>
        <w:t>(</w:t>
      </w:r>
      <w:proofErr w:type="spellStart"/>
      <w:r w:rsidRPr="00AC7465">
        <w:rPr>
          <w:color w:val="000000" w:themeColor="text1"/>
          <w:lang w:val="en-CA"/>
        </w:rPr>
        <w:t>BioRad</w:t>
      </w:r>
      <w:proofErr w:type="spellEnd"/>
      <w:r w:rsidRPr="00AC7465">
        <w:rPr>
          <w:color w:val="000000" w:themeColor="text1"/>
          <w:lang w:val="en-CA"/>
        </w:rPr>
        <w:t>, Version 6.0.1)</w:t>
      </w:r>
      <w:r w:rsidRPr="00AC7465">
        <w:rPr>
          <w:iCs/>
          <w:color w:val="000000" w:themeColor="text1"/>
          <w:lang w:val="en-CA"/>
        </w:rPr>
        <w:t xml:space="preserve">. </w:t>
      </w:r>
      <w:r w:rsidRPr="00AC7465">
        <w:rPr>
          <w:color w:val="000000" w:themeColor="text1"/>
          <w:lang w:val="en-CA"/>
        </w:rPr>
        <w:t xml:space="preserve">Full unedited blots are provided in Supplementary Fig. 1. </w:t>
      </w:r>
    </w:p>
    <w:p w14:paraId="1E78257C" w14:textId="513F9578" w:rsidR="00E37050" w:rsidRPr="00AC7465" w:rsidRDefault="00282630" w:rsidP="00D32106">
      <w:pPr>
        <w:spacing w:line="480" w:lineRule="auto"/>
        <w:ind w:firstLine="720"/>
        <w:rPr>
          <w:color w:val="000000" w:themeColor="text1"/>
          <w:lang w:val="en-CA"/>
        </w:rPr>
      </w:pPr>
      <w:r w:rsidRPr="00AC7465">
        <w:rPr>
          <w:color w:val="000000" w:themeColor="text1"/>
          <w:lang w:val="en-CA"/>
        </w:rPr>
        <w:t xml:space="preserve">Western Blot quantification was performed using </w:t>
      </w:r>
      <w:proofErr w:type="spellStart"/>
      <w:r w:rsidRPr="00AC7465">
        <w:rPr>
          <w:color w:val="000000" w:themeColor="text1"/>
          <w:lang w:val="en-CA"/>
        </w:rPr>
        <w:t>ImageLab</w:t>
      </w:r>
      <w:proofErr w:type="spellEnd"/>
      <w:r w:rsidRPr="00AC7465">
        <w:rPr>
          <w:color w:val="000000" w:themeColor="text1"/>
          <w:lang w:val="en-CA"/>
        </w:rPr>
        <w:t xml:space="preserve"> Software (</w:t>
      </w:r>
      <w:proofErr w:type="spellStart"/>
      <w:r w:rsidRPr="00AC7465">
        <w:rPr>
          <w:color w:val="000000" w:themeColor="text1"/>
          <w:lang w:val="en-CA"/>
        </w:rPr>
        <w:t>BioRad</w:t>
      </w:r>
      <w:proofErr w:type="spellEnd"/>
      <w:r w:rsidRPr="00AC7465">
        <w:rPr>
          <w:color w:val="000000" w:themeColor="text1"/>
          <w:lang w:val="en-CA"/>
        </w:rPr>
        <w:t xml:space="preserve">, Version 6.0.1). Chemiluminescent band intensity of four replicates from each sample was measured for POLR3A at 164 kDa, normalized to the β-tubulin signal at 51 kDa, and averaged for patient 2 </w:t>
      </w:r>
      <w:r w:rsidRPr="00AC7465">
        <w:rPr>
          <w:color w:val="000000" w:themeColor="text1"/>
          <w:lang w:val="en-CA"/>
        </w:rPr>
        <w:lastRenderedPageBreak/>
        <w:t xml:space="preserve">and control samples. </w:t>
      </w:r>
      <w:r w:rsidRPr="00E37050">
        <w:rPr>
          <w:color w:val="000000" w:themeColor="text1"/>
          <w:lang w:val="en-CA"/>
        </w:rPr>
        <w:t>Average percent decrease was calculated for each tissue type</w:t>
      </w:r>
      <w:r w:rsidR="00E37050">
        <w:rPr>
          <w:color w:val="000000" w:themeColor="text1"/>
          <w:lang w:val="en-CA"/>
        </w:rPr>
        <w:t>, and average reduction of protein expression levels between grey matter and white matter were compared</w:t>
      </w:r>
      <w:r w:rsidRPr="00E37050">
        <w:rPr>
          <w:color w:val="000000" w:themeColor="text1"/>
          <w:lang w:val="en-CA"/>
        </w:rPr>
        <w:t>.</w:t>
      </w:r>
      <w:r w:rsidR="00E37050" w:rsidRPr="00E37050">
        <w:rPr>
          <w:color w:val="000000" w:themeColor="text1"/>
          <w:lang w:val="en-CA"/>
        </w:rPr>
        <w:t xml:space="preserve"> </w:t>
      </w:r>
      <w:r w:rsidR="00521E86">
        <w:rPr>
          <w:color w:val="000000" w:themeColor="text1"/>
          <w:lang w:val="en-CA"/>
        </w:rPr>
        <w:t xml:space="preserve">Confidence intervals (95%) were calculated for each mean difference in protein expression. Effect size estimations were calculated using Cohen’s </w:t>
      </w:r>
      <w:r w:rsidR="00521E86" w:rsidRPr="00DB44E9">
        <w:rPr>
          <w:i/>
          <w:iCs/>
          <w:color w:val="000000" w:themeColor="text1"/>
          <w:lang w:val="en-CA"/>
        </w:rPr>
        <w:t>d</w:t>
      </w:r>
      <w:r w:rsidR="00521E86">
        <w:rPr>
          <w:i/>
          <w:iCs/>
          <w:color w:val="000000" w:themeColor="text1"/>
          <w:lang w:val="en-CA"/>
        </w:rPr>
        <w:t>,</w:t>
      </w:r>
      <w:r w:rsidR="00521E86">
        <w:rPr>
          <w:color w:val="000000" w:themeColor="text1"/>
          <w:lang w:val="en-CA"/>
        </w:rPr>
        <w:t xml:space="preserve"> with pooled standard deviation calculations. </w:t>
      </w:r>
      <w:r w:rsidR="00E37050">
        <w:rPr>
          <w:color w:val="000000" w:themeColor="text1"/>
          <w:lang w:val="en-CA"/>
        </w:rPr>
        <w:t xml:space="preserve">Statistical analysis was performed using GraphPad Prism </w:t>
      </w:r>
      <w:r w:rsidR="00C452C3">
        <w:rPr>
          <w:color w:val="000000" w:themeColor="text1"/>
          <w:lang w:val="en-CA"/>
        </w:rPr>
        <w:t xml:space="preserve">8 </w:t>
      </w:r>
      <w:r w:rsidR="00E37050">
        <w:rPr>
          <w:color w:val="000000" w:themeColor="text1"/>
          <w:lang w:val="en-CA"/>
        </w:rPr>
        <w:t>for Windows</w:t>
      </w:r>
      <w:r w:rsidR="00C452C3">
        <w:rPr>
          <w:color w:val="000000" w:themeColor="text1"/>
          <w:lang w:val="en-CA"/>
        </w:rPr>
        <w:t xml:space="preserve"> </w:t>
      </w:r>
      <w:r w:rsidR="00E37050">
        <w:rPr>
          <w:color w:val="000000" w:themeColor="text1"/>
          <w:lang w:val="en-CA"/>
        </w:rPr>
        <w:t xml:space="preserve">(GraphPad Software Inc. La Jolla, CA). </w:t>
      </w:r>
      <w:bookmarkStart w:id="0" w:name="_GoBack"/>
      <w:bookmarkEnd w:id="0"/>
    </w:p>
    <w:p w14:paraId="327A1F88" w14:textId="77777777" w:rsidR="00282630" w:rsidRPr="00AC7465" w:rsidRDefault="00282630" w:rsidP="00282630">
      <w:pPr>
        <w:spacing w:line="480" w:lineRule="auto"/>
        <w:rPr>
          <w:bCs/>
          <w:color w:val="000000" w:themeColor="text1"/>
          <w:lang w:val="en-CA"/>
        </w:rPr>
      </w:pPr>
    </w:p>
    <w:p w14:paraId="509EC955" w14:textId="4E403759" w:rsidR="00282630" w:rsidRPr="00AC7465" w:rsidRDefault="00282630" w:rsidP="00282630">
      <w:pPr>
        <w:spacing w:line="480" w:lineRule="auto"/>
        <w:rPr>
          <w:b/>
          <w:bCs/>
          <w:color w:val="000000" w:themeColor="text1"/>
          <w:lang w:val="en-CA"/>
        </w:rPr>
      </w:pPr>
      <w:r w:rsidRPr="00AC7465">
        <w:rPr>
          <w:b/>
          <w:bCs/>
          <w:color w:val="000000" w:themeColor="text1"/>
          <w:lang w:val="en-CA"/>
        </w:rPr>
        <w:t>Supplemental References</w:t>
      </w:r>
    </w:p>
    <w:p w14:paraId="09384587" w14:textId="77777777" w:rsidR="0019139A" w:rsidRPr="00AC7465" w:rsidRDefault="00282630" w:rsidP="0019139A">
      <w:pPr>
        <w:pStyle w:val="EndNoteBibliography"/>
        <w:rPr>
          <w:noProof/>
          <w:lang w:val="en-CA"/>
        </w:rPr>
      </w:pPr>
      <w:r w:rsidRPr="00AC7465">
        <w:rPr>
          <w:color w:val="000000" w:themeColor="text1"/>
          <w:lang w:val="en-CA"/>
        </w:rPr>
        <w:fldChar w:fldCharType="begin"/>
      </w:r>
      <w:r w:rsidRPr="00AC7465">
        <w:rPr>
          <w:color w:val="000000" w:themeColor="text1"/>
          <w:lang w:val="en-CA"/>
        </w:rPr>
        <w:instrText xml:space="preserve"> ADDIN EN.REFLIST </w:instrText>
      </w:r>
      <w:r w:rsidRPr="00AC7465">
        <w:rPr>
          <w:color w:val="000000" w:themeColor="text1"/>
          <w:lang w:val="en-CA"/>
        </w:rPr>
        <w:fldChar w:fldCharType="separate"/>
      </w:r>
      <w:r w:rsidR="0019139A" w:rsidRPr="00AC7465">
        <w:rPr>
          <w:noProof/>
          <w:lang w:val="en-CA"/>
        </w:rPr>
        <w:t>1.</w:t>
      </w:r>
      <w:r w:rsidR="0019139A" w:rsidRPr="00AC7465">
        <w:rPr>
          <w:noProof/>
          <w:lang w:val="en-CA"/>
        </w:rPr>
        <w:tab/>
        <w:t>Carter MS, Doskow J, Morris P, et al. A regulatory mechanism that detects premature nonsense codons in T-cell receptor transcripts in vivo is reversed by protein synthesis inhibitors in vitro. J Biol Chem 1995;270:28995-29003.</w:t>
      </w:r>
    </w:p>
    <w:p w14:paraId="48A67A5A" w14:textId="77777777" w:rsidR="0019139A" w:rsidRPr="00AC7465" w:rsidRDefault="0019139A" w:rsidP="0019139A">
      <w:pPr>
        <w:pStyle w:val="EndNoteBibliography"/>
        <w:rPr>
          <w:noProof/>
          <w:lang w:val="en-CA"/>
        </w:rPr>
      </w:pPr>
      <w:r w:rsidRPr="00AC7465">
        <w:rPr>
          <w:noProof/>
          <w:lang w:val="en-CA"/>
        </w:rPr>
        <w:t>2.</w:t>
      </w:r>
      <w:r w:rsidRPr="00AC7465">
        <w:rPr>
          <w:noProof/>
          <w:lang w:val="en-CA"/>
        </w:rPr>
        <w:tab/>
        <w:t>Schneider-Poetsch T, Ju J, Eyler DE, et al. Inhibition of eukaryotic translation elongation by cycloheximide and lactimidomycin. Nat Chem Biol 2010;6:209-217.</w:t>
      </w:r>
    </w:p>
    <w:p w14:paraId="5AE1B1A1" w14:textId="77777777" w:rsidR="0019139A" w:rsidRPr="00AC7465" w:rsidRDefault="0019139A" w:rsidP="0019139A">
      <w:pPr>
        <w:pStyle w:val="EndNoteBibliography"/>
        <w:rPr>
          <w:noProof/>
          <w:lang w:val="en-CA"/>
        </w:rPr>
      </w:pPr>
      <w:r w:rsidRPr="00AC7465">
        <w:rPr>
          <w:noProof/>
          <w:lang w:val="en-CA"/>
        </w:rPr>
        <w:t>3.</w:t>
      </w:r>
      <w:r w:rsidRPr="00AC7465">
        <w:rPr>
          <w:noProof/>
          <w:lang w:val="en-CA"/>
        </w:rPr>
        <w:tab/>
        <w:t>Bradford MM. A rapid and sensitive method for the quantitation of microgram quantities of protein utilizing the principle of protein-dye binding. Anal Biochem 1976;72:248-254.</w:t>
      </w:r>
    </w:p>
    <w:p w14:paraId="363147A2" w14:textId="5674D379" w:rsidR="00282630" w:rsidRPr="00AC7465" w:rsidRDefault="00282630" w:rsidP="00282630">
      <w:pPr>
        <w:spacing w:line="480" w:lineRule="auto"/>
        <w:ind w:firstLine="720"/>
        <w:rPr>
          <w:color w:val="000000" w:themeColor="text1"/>
          <w:lang w:val="en-CA"/>
        </w:rPr>
      </w:pPr>
      <w:r w:rsidRPr="00AC7465">
        <w:rPr>
          <w:color w:val="000000" w:themeColor="text1"/>
          <w:lang w:val="en-CA"/>
        </w:rPr>
        <w:fldChar w:fldCharType="end"/>
      </w:r>
    </w:p>
    <w:p w14:paraId="1B95DF41" w14:textId="77777777" w:rsidR="00282630" w:rsidRPr="00AC7465" w:rsidRDefault="00282630" w:rsidP="00282630">
      <w:pPr>
        <w:spacing w:line="480" w:lineRule="auto"/>
        <w:ind w:firstLine="720"/>
        <w:rPr>
          <w:color w:val="000000" w:themeColor="text1"/>
          <w:lang w:val="en-CA"/>
        </w:rPr>
      </w:pPr>
    </w:p>
    <w:p w14:paraId="5FA28C70" w14:textId="77777777" w:rsidR="00282630" w:rsidRPr="00AC7465" w:rsidRDefault="00282630" w:rsidP="00282630">
      <w:pPr>
        <w:spacing w:line="480" w:lineRule="auto"/>
        <w:ind w:firstLine="720"/>
        <w:rPr>
          <w:color w:val="000000" w:themeColor="text1"/>
          <w:lang w:val="en-CA"/>
        </w:rPr>
      </w:pPr>
    </w:p>
    <w:p w14:paraId="79F29DFE" w14:textId="77777777" w:rsidR="00282630" w:rsidRPr="00AC7465" w:rsidRDefault="00282630" w:rsidP="00282630">
      <w:pPr>
        <w:spacing w:line="480" w:lineRule="auto"/>
        <w:rPr>
          <w:color w:val="000000" w:themeColor="text1"/>
          <w:lang w:val="en-CA"/>
        </w:rPr>
      </w:pPr>
    </w:p>
    <w:p w14:paraId="6BA41C65" w14:textId="2E4F02A8" w:rsidR="00282630" w:rsidRPr="00AC7465" w:rsidRDefault="00282630" w:rsidP="00282630">
      <w:pPr>
        <w:spacing w:line="480" w:lineRule="auto"/>
        <w:rPr>
          <w:b/>
          <w:bCs/>
          <w:color w:val="000000" w:themeColor="text1"/>
          <w:lang w:val="en-CA"/>
        </w:rPr>
      </w:pPr>
    </w:p>
    <w:p w14:paraId="1D011694" w14:textId="2825ABF8" w:rsidR="00AC7465" w:rsidRPr="00AC7465" w:rsidRDefault="00AC7465" w:rsidP="00282630">
      <w:pPr>
        <w:spacing w:line="480" w:lineRule="auto"/>
        <w:rPr>
          <w:b/>
          <w:bCs/>
          <w:color w:val="000000" w:themeColor="text1"/>
          <w:lang w:val="en-CA"/>
        </w:rPr>
      </w:pPr>
      <w:r w:rsidRPr="00AC7465">
        <w:rPr>
          <w:b/>
          <w:bCs/>
          <w:noProof/>
          <w:color w:val="000000" w:themeColor="text1"/>
          <w:lang w:val="en-CA"/>
        </w:rPr>
        <w:lastRenderedPageBreak/>
        <w:drawing>
          <wp:inline distT="0" distB="0" distL="0" distR="0" wp14:anchorId="3C8E493C" wp14:editId="54647E52">
            <wp:extent cx="5972810" cy="45072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Fig1_Gel-Blot-Info-20190806-600-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24A1A" w14:textId="77777777" w:rsidR="00282630" w:rsidRPr="00AC7465" w:rsidRDefault="00282630" w:rsidP="00282630">
      <w:pPr>
        <w:spacing w:line="480" w:lineRule="auto"/>
        <w:rPr>
          <w:bCs/>
          <w:color w:val="000000" w:themeColor="text1"/>
          <w:lang w:val="en-CA"/>
        </w:rPr>
      </w:pPr>
      <w:r w:rsidRPr="00AC7465">
        <w:rPr>
          <w:b/>
          <w:bCs/>
          <w:color w:val="000000" w:themeColor="text1"/>
          <w:lang w:val="en-CA"/>
        </w:rPr>
        <w:t xml:space="preserve">Figure e-1: Additional gel and blot images. </w:t>
      </w:r>
      <w:r w:rsidRPr="00AC7465">
        <w:rPr>
          <w:bCs/>
          <w:color w:val="000000" w:themeColor="text1"/>
          <w:lang w:val="en-CA"/>
        </w:rPr>
        <w:t xml:space="preserve">(A-B) Images of full agarose gels (uncropped) demonstrating RT-PCR products with primers to amplify (A) POLR3A exons 11-15, and (B) β-Actin. (C) Individual exposures used for assembling the composite western blot image to assess molecular weight (bottom right) including top illumination to capture the protein ladder (top-left), six second chemiluminescence exposure to capture β-tubulin for data analysis (top-right), and 400 seconds to capture POLR3A for data analysis (bottom-left). (D) Composite image showing molecular weights of protein ladder and band of interest at 164 kDa, the predicted size of POLR3A. CHX; cycloheximide. MWM; molecular weight marker. GM; grey matter. WM; white matter. </w:t>
      </w:r>
    </w:p>
    <w:p w14:paraId="722916A6" w14:textId="770566AB" w:rsidR="00282630" w:rsidRPr="00AC7465" w:rsidRDefault="00282630" w:rsidP="00114000">
      <w:pPr>
        <w:spacing w:line="480" w:lineRule="auto"/>
        <w:rPr>
          <w:sz w:val="22"/>
          <w:szCs w:val="22"/>
          <w:lang w:val="en-CA"/>
        </w:rPr>
        <w:sectPr w:rsidR="00282630" w:rsidRPr="00AC7465" w:rsidSect="00A16D6F">
          <w:headerReference w:type="even" r:id="rId9"/>
          <w:headerReference w:type="default" r:id="rId10"/>
          <w:headerReference w:type="first" r:id="rId11"/>
          <w:footerReference w:type="first" r:id="rId12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226DAC8" w14:textId="77777777" w:rsidR="00282630" w:rsidRPr="00AC7465" w:rsidRDefault="00282630" w:rsidP="00282630">
      <w:pPr>
        <w:rPr>
          <w:sz w:val="10"/>
          <w:szCs w:val="10"/>
          <w:lang w:val="en-CA"/>
        </w:rPr>
      </w:pPr>
    </w:p>
    <w:p w14:paraId="07A40C97" w14:textId="77777777" w:rsidR="00282630" w:rsidRPr="00AC7465" w:rsidRDefault="00282630" w:rsidP="00282630">
      <w:pPr>
        <w:rPr>
          <w:sz w:val="10"/>
          <w:szCs w:val="10"/>
          <w:lang w:val="en-CA"/>
        </w:rPr>
      </w:pPr>
    </w:p>
    <w:p w14:paraId="3B83BFD8" w14:textId="307D7A41" w:rsidR="00282630" w:rsidRPr="00AC7465" w:rsidRDefault="00282630" w:rsidP="00282630">
      <w:pPr>
        <w:spacing w:line="480" w:lineRule="auto"/>
        <w:jc w:val="both"/>
        <w:rPr>
          <w:b/>
          <w:color w:val="000000" w:themeColor="text1"/>
          <w:lang w:val="en-CA"/>
        </w:rPr>
      </w:pPr>
      <w:r w:rsidRPr="00AC7465">
        <w:rPr>
          <w:b/>
          <w:bCs/>
          <w:color w:val="000000" w:themeColor="text1"/>
          <w:lang w:val="en-CA"/>
        </w:rPr>
        <w:t>Table e-1:</w:t>
      </w:r>
      <w:r w:rsidRPr="00AC7465">
        <w:rPr>
          <w:color w:val="000000" w:themeColor="text1"/>
          <w:lang w:val="en-CA"/>
        </w:rPr>
        <w:t xml:space="preserve"> </w:t>
      </w:r>
      <w:r w:rsidRPr="00AC7465">
        <w:rPr>
          <w:bCs/>
          <w:color w:val="000000" w:themeColor="text1"/>
          <w:lang w:val="en-CA"/>
        </w:rPr>
        <w:t xml:space="preserve">Additional clinical characteristics and demographic information for patients included in this study. </w:t>
      </w:r>
    </w:p>
    <w:p w14:paraId="486383C8" w14:textId="77777777" w:rsidR="00282630" w:rsidRPr="00AC7465" w:rsidRDefault="00282630" w:rsidP="00282630">
      <w:pPr>
        <w:rPr>
          <w:sz w:val="10"/>
          <w:szCs w:val="10"/>
          <w:lang w:val="en-CA"/>
        </w:rPr>
      </w:pPr>
    </w:p>
    <w:p w14:paraId="2CC35FFB" w14:textId="77777777" w:rsidR="00282630" w:rsidRPr="00AC7465" w:rsidRDefault="00282630" w:rsidP="00282630">
      <w:pPr>
        <w:rPr>
          <w:sz w:val="10"/>
          <w:szCs w:val="10"/>
          <w:lang w:val="en-CA"/>
        </w:rPr>
      </w:pPr>
    </w:p>
    <w:p w14:paraId="5E45EF3B" w14:textId="77777777" w:rsidR="00282630" w:rsidRPr="00AC7465" w:rsidRDefault="00282630" w:rsidP="00282630">
      <w:pPr>
        <w:rPr>
          <w:sz w:val="10"/>
          <w:szCs w:val="10"/>
          <w:lang w:val="en-CA"/>
        </w:rPr>
      </w:pPr>
    </w:p>
    <w:tbl>
      <w:tblPr>
        <w:tblpPr w:leftFromText="180" w:rightFromText="180" w:vertAnchor="page" w:horzAnchor="margin" w:tblpY="1879"/>
        <w:tblW w:w="500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427"/>
        <w:gridCol w:w="283"/>
        <w:gridCol w:w="1019"/>
        <w:gridCol w:w="426"/>
        <w:gridCol w:w="567"/>
        <w:gridCol w:w="567"/>
        <w:gridCol w:w="708"/>
        <w:gridCol w:w="708"/>
        <w:gridCol w:w="567"/>
        <w:gridCol w:w="708"/>
        <w:gridCol w:w="708"/>
        <w:gridCol w:w="564"/>
        <w:gridCol w:w="705"/>
        <w:gridCol w:w="708"/>
        <w:gridCol w:w="705"/>
        <w:gridCol w:w="964"/>
        <w:gridCol w:w="734"/>
        <w:gridCol w:w="846"/>
        <w:gridCol w:w="711"/>
        <w:gridCol w:w="564"/>
        <w:gridCol w:w="642"/>
      </w:tblGrid>
      <w:tr w:rsidR="00282630" w:rsidRPr="00AC7465" w14:paraId="6E0444F8" w14:textId="77777777" w:rsidTr="00EA0F71">
        <w:trPr>
          <w:trHeight w:val="347"/>
        </w:trPr>
        <w:tc>
          <w:tcPr>
            <w:tcW w:w="195" w:type="pct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9C7A" w14:textId="77777777" w:rsidR="00282630" w:rsidRPr="00AC7465" w:rsidRDefault="00282630" w:rsidP="00EA0F71">
            <w:pPr>
              <w:jc w:val="center"/>
              <w:rPr>
                <w:sz w:val="10"/>
                <w:szCs w:val="10"/>
                <w:lang w:val="en-CA"/>
              </w:rPr>
            </w:pPr>
          </w:p>
        </w:tc>
        <w:tc>
          <w:tcPr>
            <w:tcW w:w="600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AB955" w14:textId="77777777" w:rsidR="00282630" w:rsidRPr="00AC7465" w:rsidRDefault="00282630" w:rsidP="00EA0F71">
            <w:pPr>
              <w:jc w:val="center"/>
              <w:rPr>
                <w:bCs/>
                <w:color w:val="000000"/>
                <w:sz w:val="15"/>
                <w:szCs w:val="15"/>
                <w:lang w:val="en-CA"/>
              </w:rPr>
            </w:pPr>
          </w:p>
          <w:p w14:paraId="58E4B085" w14:textId="77777777" w:rsidR="00282630" w:rsidRPr="00AC7465" w:rsidRDefault="00282630" w:rsidP="00EA0F71">
            <w:pPr>
              <w:jc w:val="center"/>
              <w:rPr>
                <w:bCs/>
                <w:color w:val="000000"/>
                <w:sz w:val="15"/>
                <w:szCs w:val="15"/>
                <w:lang w:val="en-CA"/>
              </w:rPr>
            </w:pPr>
            <w:r w:rsidRPr="00AC7465">
              <w:rPr>
                <w:bCs/>
                <w:color w:val="000000"/>
                <w:sz w:val="15"/>
                <w:szCs w:val="15"/>
                <w:lang w:val="en-CA"/>
              </w:rPr>
              <w:t>Demographic characteristics</w:t>
            </w:r>
          </w:p>
          <w:p w14:paraId="5854B276" w14:textId="77777777" w:rsidR="00282630" w:rsidRPr="00AC7465" w:rsidRDefault="00282630" w:rsidP="00EA0F71">
            <w:pPr>
              <w:jc w:val="center"/>
              <w:rPr>
                <w:bCs/>
                <w:color w:val="000000"/>
                <w:sz w:val="15"/>
                <w:szCs w:val="15"/>
                <w:lang w:val="en-CA"/>
              </w:rPr>
            </w:pPr>
          </w:p>
          <w:p w14:paraId="444F3208" w14:textId="77777777" w:rsidR="00282630" w:rsidRPr="00AC7465" w:rsidRDefault="00282630" w:rsidP="00EA0F71">
            <w:pPr>
              <w:jc w:val="center"/>
              <w:rPr>
                <w:bCs/>
                <w:color w:val="000000"/>
                <w:sz w:val="15"/>
                <w:szCs w:val="15"/>
                <w:lang w:val="en-CA"/>
              </w:rPr>
            </w:pPr>
          </w:p>
        </w:tc>
        <w:tc>
          <w:tcPr>
            <w:tcW w:w="4205" w:type="pct"/>
            <w:gridSpan w:val="18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3C97" w14:textId="77777777" w:rsidR="00282630" w:rsidRPr="00AC7465" w:rsidRDefault="00282630" w:rsidP="00EA0F71">
            <w:pPr>
              <w:jc w:val="center"/>
              <w:rPr>
                <w:bCs/>
                <w:color w:val="000000"/>
                <w:sz w:val="15"/>
                <w:szCs w:val="15"/>
                <w:lang w:val="en-CA"/>
              </w:rPr>
            </w:pPr>
            <w:r w:rsidRPr="00AC7465">
              <w:rPr>
                <w:bCs/>
                <w:color w:val="000000"/>
                <w:sz w:val="15"/>
                <w:szCs w:val="15"/>
                <w:lang w:val="en-CA"/>
              </w:rPr>
              <w:t>Clinical characteristics</w:t>
            </w:r>
          </w:p>
        </w:tc>
      </w:tr>
      <w:tr w:rsidR="00282630" w:rsidRPr="00AC7465" w14:paraId="07B1B38F" w14:textId="77777777" w:rsidTr="00EA0F71">
        <w:trPr>
          <w:trHeight w:val="977"/>
        </w:trPr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D6CF50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ID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2FDBF539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proofErr w:type="spellStart"/>
            <w:r w:rsidRPr="00AC7465">
              <w:rPr>
                <w:color w:val="000000"/>
                <w:sz w:val="10"/>
                <w:szCs w:val="10"/>
                <w:lang w:val="en-CA"/>
              </w:rPr>
              <w:t>Pheno</w:t>
            </w:r>
            <w:proofErr w:type="spellEnd"/>
            <w:r w:rsidRPr="00AC7465">
              <w:rPr>
                <w:color w:val="000000"/>
                <w:sz w:val="10"/>
                <w:szCs w:val="10"/>
                <w:lang w:val="en-CA"/>
              </w:rPr>
              <w:t>-type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245B5849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Sex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5F56B46C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Ethnicity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1C546D27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Age of onset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6DEC2371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Failure to thrive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1718A1AF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Develop-mental delay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26FF8553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Age at walking without support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33AA9752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Cognitive impairment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327BFA49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Seizures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593D7FA9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Age at motor regression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275758A1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Dysphagia / Age at G-tube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5CEFD0FC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proofErr w:type="spellStart"/>
            <w:r w:rsidRPr="00AC7465">
              <w:rPr>
                <w:color w:val="000000"/>
                <w:sz w:val="10"/>
                <w:szCs w:val="10"/>
                <w:lang w:val="en-CA"/>
              </w:rPr>
              <w:t>Dys-autonomia</w:t>
            </w:r>
            <w:proofErr w:type="spellEnd"/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77312BBC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Respiratory insufficiency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3467C37C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Ocular abnormalities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0BC32D03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Dental abnormalities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59A29212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Hypogonadotropic hypogonadism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4CCAAF67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Microcephaly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16B7EDB8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Upper motor neuron signs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29276384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Prominent tremor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67219737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Dystonia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0EB31823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Age of death</w:t>
            </w:r>
          </w:p>
        </w:tc>
      </w:tr>
      <w:tr w:rsidR="00282630" w:rsidRPr="00AC7465" w14:paraId="5FA70E27" w14:textId="77777777" w:rsidTr="00EA0F71">
        <w:trPr>
          <w:trHeight w:val="347"/>
        </w:trPr>
        <w:tc>
          <w:tcPr>
            <w:tcW w:w="195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423B4F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Patient 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0EAE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Severe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FFE6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F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20D4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Caucasian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2BAC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 xml:space="preserve">1 </w:t>
            </w:r>
            <w:proofErr w:type="spellStart"/>
            <w:r w:rsidRPr="00AC7465">
              <w:rPr>
                <w:color w:val="000000"/>
                <w:sz w:val="10"/>
                <w:szCs w:val="10"/>
                <w:lang w:val="en-CA"/>
              </w:rPr>
              <w:t>mo</w:t>
            </w:r>
            <w:proofErr w:type="spell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4A56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+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B1F6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19B6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Not achieved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31D0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Too young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B21B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A2D4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 xml:space="preserve">10 </w:t>
            </w:r>
            <w:proofErr w:type="spellStart"/>
            <w:r w:rsidRPr="00AC7465">
              <w:rPr>
                <w:color w:val="000000"/>
                <w:sz w:val="10"/>
                <w:szCs w:val="10"/>
                <w:lang w:val="en-CA"/>
              </w:rPr>
              <w:t>mo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83DF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 xml:space="preserve">+ / 5 </w:t>
            </w:r>
            <w:proofErr w:type="spellStart"/>
            <w:r w:rsidRPr="00AC7465">
              <w:rPr>
                <w:color w:val="000000"/>
                <w:sz w:val="10"/>
                <w:szCs w:val="10"/>
                <w:lang w:val="en-CA"/>
              </w:rPr>
              <w:t>mo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C85E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AD7E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+ L S T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919E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Cortical visual impairment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21E0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Delayed dentition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9984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Too young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42A1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+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06FC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Spasticity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CBFC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659B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+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5A3BA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 xml:space="preserve">15 </w:t>
            </w:r>
            <w:proofErr w:type="spellStart"/>
            <w:r w:rsidRPr="00AC7465">
              <w:rPr>
                <w:color w:val="000000"/>
                <w:sz w:val="10"/>
                <w:szCs w:val="10"/>
                <w:lang w:val="en-CA"/>
              </w:rPr>
              <w:t>mo</w:t>
            </w:r>
            <w:proofErr w:type="spellEnd"/>
          </w:p>
        </w:tc>
      </w:tr>
      <w:tr w:rsidR="00282630" w:rsidRPr="00AC7465" w14:paraId="35DB177F" w14:textId="77777777" w:rsidTr="00EA0F71">
        <w:trPr>
          <w:trHeight w:val="347"/>
        </w:trPr>
        <w:tc>
          <w:tcPr>
            <w:tcW w:w="195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D6EA7A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Patient 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0AE9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Severe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5626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F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D0E9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Asian/</w:t>
            </w:r>
          </w:p>
          <w:p w14:paraId="5A696411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Ashkenazi Jewish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CFD2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 xml:space="preserve">2 </w:t>
            </w:r>
            <w:proofErr w:type="spellStart"/>
            <w:r w:rsidRPr="00AC7465">
              <w:rPr>
                <w:color w:val="000000"/>
                <w:sz w:val="10"/>
                <w:szCs w:val="10"/>
                <w:lang w:val="en-CA"/>
              </w:rPr>
              <w:t>mo</w:t>
            </w:r>
            <w:proofErr w:type="spell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777E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+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EC34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28AF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Not achieved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9858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Too young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287B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DF95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 xml:space="preserve">7 </w:t>
            </w:r>
            <w:proofErr w:type="spellStart"/>
            <w:r w:rsidRPr="00AC7465">
              <w:rPr>
                <w:color w:val="000000"/>
                <w:sz w:val="10"/>
                <w:szCs w:val="10"/>
                <w:lang w:val="en-CA"/>
              </w:rPr>
              <w:t>mo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3C5B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 xml:space="preserve">+ / 7 </w:t>
            </w:r>
            <w:proofErr w:type="spellStart"/>
            <w:r w:rsidRPr="00AC7465">
              <w:rPr>
                <w:color w:val="000000"/>
                <w:sz w:val="10"/>
                <w:szCs w:val="10"/>
                <w:lang w:val="en-CA"/>
              </w:rPr>
              <w:t>mo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581C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F6FA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8F43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F142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2461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Too young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67F2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+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6610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Spasticity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41AA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E608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+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7A17D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 xml:space="preserve">13 </w:t>
            </w:r>
            <w:proofErr w:type="spellStart"/>
            <w:r w:rsidRPr="00AC7465">
              <w:rPr>
                <w:color w:val="000000"/>
                <w:sz w:val="10"/>
                <w:szCs w:val="10"/>
                <w:lang w:val="en-CA"/>
              </w:rPr>
              <w:t>mo</w:t>
            </w:r>
            <w:proofErr w:type="spellEnd"/>
          </w:p>
        </w:tc>
      </w:tr>
      <w:tr w:rsidR="00282630" w:rsidRPr="00AC7465" w14:paraId="116C4607" w14:textId="77777777" w:rsidTr="00EA0F71">
        <w:trPr>
          <w:trHeight w:val="347"/>
        </w:trPr>
        <w:tc>
          <w:tcPr>
            <w:tcW w:w="195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2129DF" w14:textId="0E7B2FB5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vertAlign w:val="superscript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Patient 3</w:t>
            </w:r>
            <w:r w:rsidRPr="00AC7465">
              <w:rPr>
                <w:color w:val="000000"/>
                <w:sz w:val="10"/>
                <w:szCs w:val="10"/>
                <w:vertAlign w:val="superscript"/>
                <w:lang w:val="en-CA"/>
              </w:rPr>
              <w:t>a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1578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Severe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850A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F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D8C6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Maori/</w:t>
            </w:r>
          </w:p>
          <w:p w14:paraId="0E0925C9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Cook Island Maori/</w:t>
            </w:r>
          </w:p>
          <w:p w14:paraId="0FFB3B42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New Zealand European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FF09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 xml:space="preserve">1 </w:t>
            </w:r>
            <w:proofErr w:type="spellStart"/>
            <w:r w:rsidRPr="00AC7465">
              <w:rPr>
                <w:color w:val="000000"/>
                <w:sz w:val="10"/>
                <w:szCs w:val="10"/>
                <w:lang w:val="en-CA"/>
              </w:rPr>
              <w:t>mo</w:t>
            </w:r>
            <w:proofErr w:type="spell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CE9D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+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4EC7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F7CC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Not achieved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F5DF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Too young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3EA9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B14A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 xml:space="preserve">2 </w:t>
            </w:r>
            <w:proofErr w:type="spellStart"/>
            <w:r w:rsidRPr="00AC7465">
              <w:rPr>
                <w:color w:val="000000"/>
                <w:sz w:val="10"/>
                <w:szCs w:val="10"/>
                <w:lang w:val="en-CA"/>
              </w:rPr>
              <w:t>mo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19D4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 xml:space="preserve">+ / 7 </w:t>
            </w:r>
            <w:proofErr w:type="spellStart"/>
            <w:r w:rsidRPr="00AC7465">
              <w:rPr>
                <w:color w:val="000000"/>
                <w:sz w:val="10"/>
                <w:szCs w:val="10"/>
                <w:lang w:val="en-CA"/>
              </w:rPr>
              <w:t>mo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D1D3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7680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+ L S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E716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Hyperopia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27FB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Delayed dentition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C517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Too young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D568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A649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Hyperreflexia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1E81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087D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+ C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A8424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 xml:space="preserve">21 </w:t>
            </w:r>
            <w:proofErr w:type="spellStart"/>
            <w:r w:rsidRPr="00AC7465">
              <w:rPr>
                <w:color w:val="000000"/>
                <w:sz w:val="10"/>
                <w:szCs w:val="10"/>
                <w:lang w:val="en-CA"/>
              </w:rPr>
              <w:t>mo</w:t>
            </w:r>
            <w:proofErr w:type="spellEnd"/>
          </w:p>
        </w:tc>
      </w:tr>
      <w:tr w:rsidR="00282630" w:rsidRPr="00AC7465" w14:paraId="5A356A9E" w14:textId="77777777" w:rsidTr="00EA0F71">
        <w:trPr>
          <w:trHeight w:val="347"/>
        </w:trPr>
        <w:tc>
          <w:tcPr>
            <w:tcW w:w="195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C73212" w14:textId="41F9E63D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vertAlign w:val="superscript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Patient 4</w:t>
            </w:r>
            <w:r w:rsidRPr="00AC7465">
              <w:rPr>
                <w:color w:val="000000"/>
                <w:sz w:val="10"/>
                <w:szCs w:val="10"/>
                <w:vertAlign w:val="superscript"/>
                <w:lang w:val="en-CA"/>
              </w:rPr>
              <w:t>a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8081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Severe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B5E5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M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0BA6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</w:p>
          <w:p w14:paraId="5BF4CA13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Maori/</w:t>
            </w:r>
          </w:p>
          <w:p w14:paraId="58F934E2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Cook Island Maori/</w:t>
            </w:r>
          </w:p>
          <w:p w14:paraId="6B6EB736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New Zealand European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8F27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 xml:space="preserve">3 </w:t>
            </w:r>
            <w:proofErr w:type="spellStart"/>
            <w:r w:rsidRPr="00AC7465">
              <w:rPr>
                <w:color w:val="000000"/>
                <w:sz w:val="10"/>
                <w:szCs w:val="10"/>
                <w:lang w:val="en-CA"/>
              </w:rPr>
              <w:t>mo</w:t>
            </w:r>
            <w:proofErr w:type="spell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7A73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+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58DB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A38D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Not achieved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1178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Too young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F9BE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BD00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 xml:space="preserve">6 </w:t>
            </w:r>
            <w:proofErr w:type="spellStart"/>
            <w:r w:rsidRPr="00AC7465">
              <w:rPr>
                <w:color w:val="000000"/>
                <w:sz w:val="10"/>
                <w:szCs w:val="10"/>
                <w:lang w:val="en-CA"/>
              </w:rPr>
              <w:t>mo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6DB5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+ / 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A840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5D84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+ L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689F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Hyperopia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632B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Delayed dentition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466F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Too young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D3B0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C5BA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69A6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BDE0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+ C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91989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 xml:space="preserve">38 </w:t>
            </w:r>
            <w:proofErr w:type="spellStart"/>
            <w:r w:rsidRPr="00AC7465">
              <w:rPr>
                <w:color w:val="000000"/>
                <w:sz w:val="10"/>
                <w:szCs w:val="10"/>
                <w:lang w:val="en-CA"/>
              </w:rPr>
              <w:t>mo</w:t>
            </w:r>
            <w:proofErr w:type="spellEnd"/>
          </w:p>
        </w:tc>
      </w:tr>
      <w:tr w:rsidR="00282630" w:rsidRPr="00AC7465" w14:paraId="6AE00806" w14:textId="77777777" w:rsidTr="00EA0F71">
        <w:trPr>
          <w:trHeight w:val="347"/>
        </w:trPr>
        <w:tc>
          <w:tcPr>
            <w:tcW w:w="195" w:type="pc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482509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Patient 5</w:t>
            </w: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AADA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Severe</w:t>
            </w:r>
          </w:p>
        </w:tc>
        <w:tc>
          <w:tcPr>
            <w:tcW w:w="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4C34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M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4D04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Russian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38266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 xml:space="preserve">3 </w:t>
            </w:r>
            <w:proofErr w:type="spellStart"/>
            <w:r w:rsidRPr="00AC7465">
              <w:rPr>
                <w:color w:val="000000"/>
                <w:sz w:val="10"/>
                <w:szCs w:val="10"/>
                <w:lang w:val="en-CA"/>
              </w:rPr>
              <w:t>mo</w:t>
            </w:r>
            <w:proofErr w:type="spellEnd"/>
          </w:p>
        </w:tc>
        <w:tc>
          <w:tcPr>
            <w:tcW w:w="1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44C4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+</w:t>
            </w:r>
          </w:p>
        </w:tc>
        <w:tc>
          <w:tcPr>
            <w:tcW w:w="1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F882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5CE2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Not achieved</w:t>
            </w:r>
          </w:p>
        </w:tc>
        <w:tc>
          <w:tcPr>
            <w:tcW w:w="2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12C8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Too young</w:t>
            </w:r>
          </w:p>
        </w:tc>
        <w:tc>
          <w:tcPr>
            <w:tcW w:w="1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63D7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N/A</w:t>
            </w:r>
          </w:p>
        </w:tc>
        <w:tc>
          <w:tcPr>
            <w:tcW w:w="2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F923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 xml:space="preserve">3 </w:t>
            </w:r>
            <w:proofErr w:type="spellStart"/>
            <w:r w:rsidRPr="00AC7465">
              <w:rPr>
                <w:color w:val="000000"/>
                <w:sz w:val="10"/>
                <w:szCs w:val="10"/>
                <w:lang w:val="en-CA"/>
              </w:rPr>
              <w:t>mo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78DF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 xml:space="preserve">+ / 15 </w:t>
            </w:r>
            <w:proofErr w:type="spellStart"/>
            <w:r w:rsidRPr="00AC7465">
              <w:rPr>
                <w:color w:val="000000"/>
                <w:sz w:val="10"/>
                <w:szCs w:val="10"/>
                <w:lang w:val="en-CA"/>
              </w:rPr>
              <w:t>mo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F5F5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5DB1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3727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A391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C7B1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Too young</w:t>
            </w:r>
          </w:p>
        </w:tc>
        <w:tc>
          <w:tcPr>
            <w:tcW w:w="2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BF38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+</w:t>
            </w:r>
          </w:p>
        </w:tc>
        <w:tc>
          <w:tcPr>
            <w:tcW w:w="2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B317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Spasticity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5AD7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A9A4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+ C</w:t>
            </w:r>
          </w:p>
        </w:tc>
        <w:tc>
          <w:tcPr>
            <w:tcW w:w="224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3F9FB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 xml:space="preserve">N/A (Currently </w:t>
            </w:r>
          </w:p>
          <w:p w14:paraId="79B9E055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5 y)</w:t>
            </w:r>
          </w:p>
        </w:tc>
      </w:tr>
      <w:tr w:rsidR="00282630" w:rsidRPr="00AC7465" w14:paraId="52724BF6" w14:textId="77777777" w:rsidTr="00EA0F71">
        <w:trPr>
          <w:trHeight w:val="347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FA0C4CB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Patient 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A67E7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Severe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0DFB0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M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22373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Hispanic/</w:t>
            </w:r>
          </w:p>
          <w:p w14:paraId="15C6DBAE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American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66114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 xml:space="preserve">3 </w:t>
            </w:r>
            <w:proofErr w:type="spellStart"/>
            <w:r w:rsidRPr="00AC7465">
              <w:rPr>
                <w:color w:val="000000"/>
                <w:sz w:val="10"/>
                <w:szCs w:val="10"/>
                <w:lang w:val="en-CA"/>
              </w:rPr>
              <w:t>mo</w:t>
            </w:r>
            <w:proofErr w:type="spellEnd"/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6FEF5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+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FA371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E06DC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Not achieved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9F37A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Too young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E42B9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27DEA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 xml:space="preserve">12 </w:t>
            </w:r>
            <w:proofErr w:type="spellStart"/>
            <w:r w:rsidRPr="00AC7465">
              <w:rPr>
                <w:color w:val="000000"/>
                <w:sz w:val="10"/>
                <w:szCs w:val="10"/>
                <w:lang w:val="en-CA"/>
              </w:rPr>
              <w:t>mo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53128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 xml:space="preserve">+ / 12 </w:t>
            </w:r>
            <w:proofErr w:type="spellStart"/>
            <w:r w:rsidRPr="00AC7465">
              <w:rPr>
                <w:color w:val="000000"/>
                <w:sz w:val="10"/>
                <w:szCs w:val="10"/>
                <w:lang w:val="en-CA"/>
              </w:rPr>
              <w:t>mo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B9961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813E0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F591C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Cortical visual impairment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A4DC1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N/A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5C300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Too young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6A154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+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7F48C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Spasticity and hyperreflexia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D8151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2"/>
                <w:szCs w:val="12"/>
                <w:lang w:val="en-CA"/>
              </w:rPr>
            </w:pPr>
            <w:r w:rsidRPr="00AC7465">
              <w:rPr>
                <w:color w:val="000000"/>
                <w:sz w:val="12"/>
                <w:szCs w:val="12"/>
                <w:lang w:val="en-CA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6CDD4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+ C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309D9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</w:p>
          <w:p w14:paraId="5DED766A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 xml:space="preserve">N/A (Currently </w:t>
            </w:r>
          </w:p>
          <w:p w14:paraId="79E49D45" w14:textId="77777777" w:rsidR="00282630" w:rsidRPr="00AC7465" w:rsidRDefault="00282630" w:rsidP="00EA0F71">
            <w:pPr>
              <w:jc w:val="center"/>
              <w:rPr>
                <w:b/>
                <w:color w:val="000000"/>
                <w:sz w:val="10"/>
                <w:szCs w:val="10"/>
                <w:lang w:val="en-CA"/>
              </w:rPr>
            </w:pPr>
            <w:r w:rsidRPr="00AC7465">
              <w:rPr>
                <w:color w:val="000000"/>
                <w:sz w:val="10"/>
                <w:szCs w:val="10"/>
                <w:lang w:val="en-CA"/>
              </w:rPr>
              <w:t>3 y)</w:t>
            </w:r>
          </w:p>
        </w:tc>
      </w:tr>
    </w:tbl>
    <w:p w14:paraId="05D90BCA" w14:textId="730900E5" w:rsidR="00282630" w:rsidRPr="00AC7465" w:rsidRDefault="00282630" w:rsidP="00282630">
      <w:pPr>
        <w:rPr>
          <w:b/>
          <w:bCs/>
          <w:sz w:val="20"/>
          <w:szCs w:val="20"/>
          <w:lang w:val="en-CA"/>
        </w:rPr>
      </w:pPr>
      <w:r w:rsidRPr="00AC7465">
        <w:rPr>
          <w:bCs/>
          <w:sz w:val="20"/>
          <w:szCs w:val="20"/>
          <w:vertAlign w:val="superscript"/>
          <w:lang w:val="en-CA"/>
        </w:rPr>
        <w:t>a</w:t>
      </w:r>
      <w:r w:rsidR="0019139A" w:rsidRPr="00AC7465">
        <w:rPr>
          <w:bCs/>
          <w:sz w:val="20"/>
          <w:szCs w:val="20"/>
          <w:vertAlign w:val="superscript"/>
          <w:lang w:val="en-CA"/>
        </w:rPr>
        <w:t xml:space="preserve"> </w:t>
      </w:r>
      <w:r w:rsidRPr="00AC7465">
        <w:rPr>
          <w:bCs/>
          <w:sz w:val="20"/>
          <w:szCs w:val="20"/>
          <w:lang w:val="en-CA"/>
        </w:rPr>
        <w:t xml:space="preserve">: Patients 3 and 4 are from the same family; C: Choreoathetosis; L: Laryngomalacia; N/A: Not available; </w:t>
      </w:r>
      <w:proofErr w:type="spellStart"/>
      <w:r w:rsidRPr="00AC7465">
        <w:rPr>
          <w:bCs/>
          <w:sz w:val="20"/>
          <w:szCs w:val="20"/>
          <w:lang w:val="en-CA"/>
        </w:rPr>
        <w:t>mo</w:t>
      </w:r>
      <w:proofErr w:type="spellEnd"/>
      <w:r w:rsidRPr="00AC7465">
        <w:rPr>
          <w:bCs/>
          <w:sz w:val="20"/>
          <w:szCs w:val="20"/>
          <w:lang w:val="en-CA"/>
        </w:rPr>
        <w:t xml:space="preserve">: Months; S: </w:t>
      </w:r>
      <w:proofErr w:type="spellStart"/>
      <w:r w:rsidRPr="00AC7465">
        <w:rPr>
          <w:bCs/>
          <w:sz w:val="20"/>
          <w:szCs w:val="20"/>
          <w:lang w:val="en-CA"/>
        </w:rPr>
        <w:t>Supraglottoplasty</w:t>
      </w:r>
      <w:proofErr w:type="spellEnd"/>
      <w:r w:rsidRPr="00AC7465">
        <w:rPr>
          <w:bCs/>
          <w:sz w:val="20"/>
          <w:szCs w:val="20"/>
          <w:lang w:val="en-CA"/>
        </w:rPr>
        <w:t>; T: Tracheostomy; y: Years.</w:t>
      </w:r>
    </w:p>
    <w:p w14:paraId="72A5FBAD" w14:textId="77777777" w:rsidR="00282630" w:rsidRPr="00AC7465" w:rsidRDefault="00282630" w:rsidP="00282630">
      <w:pPr>
        <w:rPr>
          <w:sz w:val="10"/>
          <w:szCs w:val="10"/>
          <w:lang w:val="en-CA"/>
        </w:rPr>
      </w:pPr>
    </w:p>
    <w:p w14:paraId="64B51DFF" w14:textId="77777777" w:rsidR="00282630" w:rsidRPr="00AC7465" w:rsidRDefault="00282630" w:rsidP="00282630">
      <w:pPr>
        <w:rPr>
          <w:sz w:val="10"/>
          <w:szCs w:val="10"/>
          <w:lang w:val="en-CA"/>
        </w:rPr>
      </w:pPr>
    </w:p>
    <w:p w14:paraId="134CAD1C" w14:textId="77777777" w:rsidR="00282630" w:rsidRPr="00AC7465" w:rsidRDefault="00282630" w:rsidP="00282630">
      <w:pPr>
        <w:rPr>
          <w:sz w:val="10"/>
          <w:szCs w:val="10"/>
          <w:lang w:val="en-CA"/>
        </w:rPr>
      </w:pPr>
    </w:p>
    <w:p w14:paraId="7F99CD1B" w14:textId="77777777" w:rsidR="00282630" w:rsidRPr="00AC7465" w:rsidRDefault="00282630" w:rsidP="00282630">
      <w:pPr>
        <w:rPr>
          <w:sz w:val="10"/>
          <w:szCs w:val="10"/>
          <w:lang w:val="en-CA"/>
        </w:rPr>
      </w:pPr>
    </w:p>
    <w:p w14:paraId="4A5E7F04" w14:textId="77777777" w:rsidR="00282630" w:rsidRPr="00AC7465" w:rsidRDefault="00282630" w:rsidP="00282630">
      <w:pPr>
        <w:rPr>
          <w:sz w:val="10"/>
          <w:szCs w:val="10"/>
          <w:lang w:val="en-CA"/>
        </w:rPr>
      </w:pPr>
    </w:p>
    <w:p w14:paraId="263BA02F" w14:textId="77777777" w:rsidR="00282630" w:rsidRPr="00AC7465" w:rsidRDefault="00282630" w:rsidP="00282630">
      <w:pPr>
        <w:rPr>
          <w:sz w:val="10"/>
          <w:szCs w:val="10"/>
          <w:lang w:val="en-CA"/>
        </w:rPr>
      </w:pPr>
    </w:p>
    <w:p w14:paraId="587CFBD9" w14:textId="77777777" w:rsidR="00282630" w:rsidRPr="00AC7465" w:rsidRDefault="00282630" w:rsidP="00282630">
      <w:pPr>
        <w:rPr>
          <w:sz w:val="10"/>
          <w:szCs w:val="10"/>
          <w:lang w:val="en-CA"/>
        </w:rPr>
      </w:pPr>
    </w:p>
    <w:p w14:paraId="4DD68654" w14:textId="77777777" w:rsidR="00282630" w:rsidRPr="00AC7465" w:rsidRDefault="00282630" w:rsidP="00282630">
      <w:pPr>
        <w:rPr>
          <w:sz w:val="10"/>
          <w:szCs w:val="10"/>
          <w:lang w:val="en-CA"/>
        </w:rPr>
      </w:pPr>
    </w:p>
    <w:p w14:paraId="39EC1DD5" w14:textId="77777777" w:rsidR="00282630" w:rsidRPr="00AC7465" w:rsidRDefault="00282630" w:rsidP="00282630">
      <w:pPr>
        <w:rPr>
          <w:sz w:val="10"/>
          <w:szCs w:val="10"/>
          <w:lang w:val="en-CA"/>
        </w:rPr>
      </w:pPr>
    </w:p>
    <w:p w14:paraId="32413BA3" w14:textId="77777777" w:rsidR="00282630" w:rsidRPr="00AC7465" w:rsidRDefault="00282630" w:rsidP="00282630">
      <w:pPr>
        <w:rPr>
          <w:sz w:val="10"/>
          <w:szCs w:val="10"/>
          <w:lang w:val="en-CA"/>
        </w:rPr>
      </w:pPr>
    </w:p>
    <w:p w14:paraId="0B99AC18" w14:textId="77777777" w:rsidR="00282630" w:rsidRPr="00AC7465" w:rsidRDefault="00282630" w:rsidP="00282630">
      <w:pPr>
        <w:rPr>
          <w:sz w:val="10"/>
          <w:szCs w:val="10"/>
          <w:lang w:val="en-CA"/>
        </w:rPr>
      </w:pPr>
    </w:p>
    <w:p w14:paraId="0042ACAC" w14:textId="50E57E4B" w:rsidR="00B22BA0" w:rsidRPr="00AC7465" w:rsidRDefault="00B22BA0" w:rsidP="00282630">
      <w:pPr>
        <w:spacing w:line="480" w:lineRule="auto"/>
        <w:jc w:val="both"/>
        <w:rPr>
          <w:lang w:val="en-CA"/>
        </w:rPr>
      </w:pPr>
    </w:p>
    <w:sectPr w:rsidR="00B22BA0" w:rsidRPr="00AC7465" w:rsidSect="009A323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CA293" w14:textId="77777777" w:rsidR="006E2E6C" w:rsidRDefault="006E2E6C">
      <w:r>
        <w:separator/>
      </w:r>
    </w:p>
  </w:endnote>
  <w:endnote w:type="continuationSeparator" w:id="0">
    <w:p w14:paraId="22D1518D" w14:textId="77777777" w:rsidR="006E2E6C" w:rsidRDefault="006E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0FD4" w14:textId="77777777" w:rsidR="00E37050" w:rsidRDefault="00E37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789AB" w14:textId="77777777" w:rsidR="006E2E6C" w:rsidRDefault="006E2E6C">
      <w:r>
        <w:separator/>
      </w:r>
    </w:p>
  </w:footnote>
  <w:footnote w:type="continuationSeparator" w:id="0">
    <w:p w14:paraId="06E43605" w14:textId="77777777" w:rsidR="006E2E6C" w:rsidRDefault="006E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2294" w14:textId="77777777" w:rsidR="00193F6D" w:rsidRDefault="00193F6D" w:rsidP="00B22B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43D7D" w14:textId="77777777" w:rsidR="00193F6D" w:rsidRDefault="00193F6D" w:rsidP="00B22BA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39E5" w14:textId="0A761D44" w:rsidR="00193F6D" w:rsidRPr="00A16D6F" w:rsidRDefault="00A16D6F" w:rsidP="00A16D6F">
    <w:pPr>
      <w:pStyle w:val="Header"/>
      <w:tabs>
        <w:tab w:val="left" w:pos="8272"/>
      </w:tabs>
      <w:ind w:right="360"/>
      <w:jc w:val="right"/>
      <w:rPr>
        <w:sz w:val="22"/>
        <w:szCs w:val="22"/>
      </w:rPr>
    </w:pPr>
    <w:r w:rsidRPr="00A16D6F">
      <w:rPr>
        <w:sz w:val="22"/>
        <w:szCs w:val="22"/>
      </w:rPr>
      <w:t xml:space="preserve">Perrier S and </w:t>
    </w:r>
    <w:proofErr w:type="spellStart"/>
    <w:r w:rsidRPr="00A16D6F">
      <w:rPr>
        <w:sz w:val="22"/>
        <w:szCs w:val="22"/>
      </w:rPr>
      <w:t>Gauquelin</w:t>
    </w:r>
    <w:proofErr w:type="spellEnd"/>
    <w:r w:rsidRPr="00A16D6F">
      <w:rPr>
        <w:sz w:val="22"/>
        <w:szCs w:val="22"/>
      </w:rPr>
      <w:t xml:space="preserve"> L </w:t>
    </w:r>
    <w:r w:rsidRPr="00A16D6F">
      <w:rPr>
        <w:i/>
        <w:iCs/>
        <w:sz w:val="22"/>
        <w:szCs w:val="22"/>
      </w:rPr>
      <w:t>et al.</w:t>
    </w:r>
    <w:r w:rsidRPr="00A16D6F">
      <w:rPr>
        <w:sz w:val="22"/>
        <w:szCs w:val="22"/>
      </w:rPr>
      <w:t xml:space="preserve"> </w:t>
    </w:r>
    <w:proofErr w:type="spellStart"/>
    <w:r w:rsidRPr="00A16D6F">
      <w:rPr>
        <w:sz w:val="22"/>
        <w:szCs w:val="22"/>
      </w:rPr>
      <w:t>Supplemental</w:t>
    </w:r>
    <w:proofErr w:type="spellEnd"/>
    <w:r w:rsidRPr="00A16D6F">
      <w:rPr>
        <w:sz w:val="22"/>
        <w:szCs w:val="22"/>
      </w:rPr>
      <w:t xml:space="preserve"> Data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239E0" w14:textId="19CD4879" w:rsidR="00193F6D" w:rsidRDefault="00193F6D">
    <w:pPr>
      <w:pStyle w:val="Header"/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69411C"/>
    <w:multiLevelType w:val="multilevel"/>
    <w:tmpl w:val="3C80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00D44"/>
    <w:multiLevelType w:val="multilevel"/>
    <w:tmpl w:val="1FBC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37264"/>
    <w:multiLevelType w:val="multilevel"/>
    <w:tmpl w:val="5928E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93F4B"/>
    <w:rsid w:val="0000183B"/>
    <w:rsid w:val="000051DD"/>
    <w:rsid w:val="000068A8"/>
    <w:rsid w:val="0001105C"/>
    <w:rsid w:val="0001193C"/>
    <w:rsid w:val="000164D0"/>
    <w:rsid w:val="000212BC"/>
    <w:rsid w:val="000274ED"/>
    <w:rsid w:val="00027D34"/>
    <w:rsid w:val="00031CC9"/>
    <w:rsid w:val="00031EE6"/>
    <w:rsid w:val="0003351D"/>
    <w:rsid w:val="00033F78"/>
    <w:rsid w:val="00037030"/>
    <w:rsid w:val="0004074F"/>
    <w:rsid w:val="000430B7"/>
    <w:rsid w:val="000456AA"/>
    <w:rsid w:val="00050D2F"/>
    <w:rsid w:val="00050EDD"/>
    <w:rsid w:val="00051669"/>
    <w:rsid w:val="000561A1"/>
    <w:rsid w:val="00057509"/>
    <w:rsid w:val="00057C5B"/>
    <w:rsid w:val="00060458"/>
    <w:rsid w:val="00061D72"/>
    <w:rsid w:val="00065362"/>
    <w:rsid w:val="0006664B"/>
    <w:rsid w:val="0006747E"/>
    <w:rsid w:val="000676E3"/>
    <w:rsid w:val="00067D17"/>
    <w:rsid w:val="00067D6B"/>
    <w:rsid w:val="00070371"/>
    <w:rsid w:val="00070DF2"/>
    <w:rsid w:val="00072920"/>
    <w:rsid w:val="00076E49"/>
    <w:rsid w:val="0008348C"/>
    <w:rsid w:val="00083B5D"/>
    <w:rsid w:val="00086BD7"/>
    <w:rsid w:val="000870C7"/>
    <w:rsid w:val="00090694"/>
    <w:rsid w:val="00092B46"/>
    <w:rsid w:val="000947F7"/>
    <w:rsid w:val="000964B9"/>
    <w:rsid w:val="000A0074"/>
    <w:rsid w:val="000A0555"/>
    <w:rsid w:val="000A0B14"/>
    <w:rsid w:val="000A28CF"/>
    <w:rsid w:val="000A7136"/>
    <w:rsid w:val="000A7190"/>
    <w:rsid w:val="000B1B69"/>
    <w:rsid w:val="000B25DF"/>
    <w:rsid w:val="000B499C"/>
    <w:rsid w:val="000B693E"/>
    <w:rsid w:val="000B6FB7"/>
    <w:rsid w:val="000B7EF7"/>
    <w:rsid w:val="000C1A80"/>
    <w:rsid w:val="000C4F04"/>
    <w:rsid w:val="000C717D"/>
    <w:rsid w:val="000C7A17"/>
    <w:rsid w:val="000D0847"/>
    <w:rsid w:val="000D4E79"/>
    <w:rsid w:val="000D5121"/>
    <w:rsid w:val="000D79E9"/>
    <w:rsid w:val="000E0E86"/>
    <w:rsid w:val="000E78F8"/>
    <w:rsid w:val="000F0160"/>
    <w:rsid w:val="000F2FE2"/>
    <w:rsid w:val="000F3701"/>
    <w:rsid w:val="000F4AC4"/>
    <w:rsid w:val="00101163"/>
    <w:rsid w:val="00103995"/>
    <w:rsid w:val="001043CC"/>
    <w:rsid w:val="00104436"/>
    <w:rsid w:val="0011054A"/>
    <w:rsid w:val="00111467"/>
    <w:rsid w:val="001127E5"/>
    <w:rsid w:val="00112935"/>
    <w:rsid w:val="001132E1"/>
    <w:rsid w:val="00113CA3"/>
    <w:rsid w:val="00114000"/>
    <w:rsid w:val="0012222C"/>
    <w:rsid w:val="00124A36"/>
    <w:rsid w:val="00124CF9"/>
    <w:rsid w:val="00125887"/>
    <w:rsid w:val="00125B2A"/>
    <w:rsid w:val="00126153"/>
    <w:rsid w:val="00130166"/>
    <w:rsid w:val="001318E7"/>
    <w:rsid w:val="00132234"/>
    <w:rsid w:val="00133FDE"/>
    <w:rsid w:val="00134E71"/>
    <w:rsid w:val="00136B5B"/>
    <w:rsid w:val="00136F5E"/>
    <w:rsid w:val="00137180"/>
    <w:rsid w:val="0014104E"/>
    <w:rsid w:val="001429C7"/>
    <w:rsid w:val="00142A9D"/>
    <w:rsid w:val="00143542"/>
    <w:rsid w:val="00143ECA"/>
    <w:rsid w:val="00144881"/>
    <w:rsid w:val="0014587A"/>
    <w:rsid w:val="00146D5C"/>
    <w:rsid w:val="00150AEA"/>
    <w:rsid w:val="00153506"/>
    <w:rsid w:val="00154D54"/>
    <w:rsid w:val="00154F44"/>
    <w:rsid w:val="00155A24"/>
    <w:rsid w:val="00155AC5"/>
    <w:rsid w:val="00156106"/>
    <w:rsid w:val="0016014F"/>
    <w:rsid w:val="00162A69"/>
    <w:rsid w:val="0016320A"/>
    <w:rsid w:val="00173D32"/>
    <w:rsid w:val="001750BB"/>
    <w:rsid w:val="001754AE"/>
    <w:rsid w:val="001775D8"/>
    <w:rsid w:val="001803E3"/>
    <w:rsid w:val="0018060A"/>
    <w:rsid w:val="001811B1"/>
    <w:rsid w:val="001817BC"/>
    <w:rsid w:val="00182F0C"/>
    <w:rsid w:val="00187ADD"/>
    <w:rsid w:val="00190D91"/>
    <w:rsid w:val="0019139A"/>
    <w:rsid w:val="00191530"/>
    <w:rsid w:val="00191AB9"/>
    <w:rsid w:val="00193F6D"/>
    <w:rsid w:val="001964E0"/>
    <w:rsid w:val="001A342A"/>
    <w:rsid w:val="001A36DE"/>
    <w:rsid w:val="001A57C2"/>
    <w:rsid w:val="001A648F"/>
    <w:rsid w:val="001A680B"/>
    <w:rsid w:val="001B2D70"/>
    <w:rsid w:val="001B352C"/>
    <w:rsid w:val="001B4430"/>
    <w:rsid w:val="001B6667"/>
    <w:rsid w:val="001B7C1E"/>
    <w:rsid w:val="001B7DDA"/>
    <w:rsid w:val="001C51CB"/>
    <w:rsid w:val="001C56BE"/>
    <w:rsid w:val="001D30D4"/>
    <w:rsid w:val="001D444A"/>
    <w:rsid w:val="001D4775"/>
    <w:rsid w:val="001D60B7"/>
    <w:rsid w:val="001D69E1"/>
    <w:rsid w:val="001D73EA"/>
    <w:rsid w:val="001E179A"/>
    <w:rsid w:val="001E3331"/>
    <w:rsid w:val="001E558C"/>
    <w:rsid w:val="001F0004"/>
    <w:rsid w:val="001F2527"/>
    <w:rsid w:val="001F4303"/>
    <w:rsid w:val="001F4800"/>
    <w:rsid w:val="001F72BF"/>
    <w:rsid w:val="0020028D"/>
    <w:rsid w:val="00200B91"/>
    <w:rsid w:val="00202322"/>
    <w:rsid w:val="00202C1C"/>
    <w:rsid w:val="00205EB9"/>
    <w:rsid w:val="00205EC0"/>
    <w:rsid w:val="002061B0"/>
    <w:rsid w:val="00206DD9"/>
    <w:rsid w:val="00206FF2"/>
    <w:rsid w:val="00211098"/>
    <w:rsid w:val="00211558"/>
    <w:rsid w:val="0021163C"/>
    <w:rsid w:val="0021542A"/>
    <w:rsid w:val="002168AB"/>
    <w:rsid w:val="00216A5A"/>
    <w:rsid w:val="002212B5"/>
    <w:rsid w:val="00221C5E"/>
    <w:rsid w:val="00226483"/>
    <w:rsid w:val="0023366B"/>
    <w:rsid w:val="00234231"/>
    <w:rsid w:val="00234593"/>
    <w:rsid w:val="00234598"/>
    <w:rsid w:val="0024275F"/>
    <w:rsid w:val="002438DC"/>
    <w:rsid w:val="00243B4D"/>
    <w:rsid w:val="00245AD4"/>
    <w:rsid w:val="002465A8"/>
    <w:rsid w:val="00247055"/>
    <w:rsid w:val="00250D23"/>
    <w:rsid w:val="002510CD"/>
    <w:rsid w:val="002558A4"/>
    <w:rsid w:val="00260B39"/>
    <w:rsid w:val="00261847"/>
    <w:rsid w:val="002621D0"/>
    <w:rsid w:val="00262333"/>
    <w:rsid w:val="00263428"/>
    <w:rsid w:val="00266A7E"/>
    <w:rsid w:val="00270819"/>
    <w:rsid w:val="00271FF8"/>
    <w:rsid w:val="00274E87"/>
    <w:rsid w:val="00280C23"/>
    <w:rsid w:val="00282630"/>
    <w:rsid w:val="00284309"/>
    <w:rsid w:val="00285228"/>
    <w:rsid w:val="0028532F"/>
    <w:rsid w:val="002864DF"/>
    <w:rsid w:val="00291D7F"/>
    <w:rsid w:val="002959EF"/>
    <w:rsid w:val="002A6994"/>
    <w:rsid w:val="002A6F40"/>
    <w:rsid w:val="002A74E1"/>
    <w:rsid w:val="002B388A"/>
    <w:rsid w:val="002B481E"/>
    <w:rsid w:val="002B506A"/>
    <w:rsid w:val="002B7FE6"/>
    <w:rsid w:val="002C1A92"/>
    <w:rsid w:val="002C1E97"/>
    <w:rsid w:val="002C2A7D"/>
    <w:rsid w:val="002C3F60"/>
    <w:rsid w:val="002D422E"/>
    <w:rsid w:val="002D660D"/>
    <w:rsid w:val="002E0E98"/>
    <w:rsid w:val="002E2840"/>
    <w:rsid w:val="002E4168"/>
    <w:rsid w:val="002E59C8"/>
    <w:rsid w:val="002F270B"/>
    <w:rsid w:val="002F650C"/>
    <w:rsid w:val="002F7677"/>
    <w:rsid w:val="002F7900"/>
    <w:rsid w:val="002F7B00"/>
    <w:rsid w:val="003032A8"/>
    <w:rsid w:val="00306451"/>
    <w:rsid w:val="003072FE"/>
    <w:rsid w:val="00312570"/>
    <w:rsid w:val="00316561"/>
    <w:rsid w:val="00316AEF"/>
    <w:rsid w:val="00316F4A"/>
    <w:rsid w:val="00320800"/>
    <w:rsid w:val="00321339"/>
    <w:rsid w:val="0032135D"/>
    <w:rsid w:val="0032135E"/>
    <w:rsid w:val="003219B3"/>
    <w:rsid w:val="00324C8D"/>
    <w:rsid w:val="00326063"/>
    <w:rsid w:val="003263CA"/>
    <w:rsid w:val="003271EE"/>
    <w:rsid w:val="003279F6"/>
    <w:rsid w:val="00336A03"/>
    <w:rsid w:val="003378CE"/>
    <w:rsid w:val="003430DA"/>
    <w:rsid w:val="00344C32"/>
    <w:rsid w:val="00345994"/>
    <w:rsid w:val="003476D1"/>
    <w:rsid w:val="003509AB"/>
    <w:rsid w:val="00352A19"/>
    <w:rsid w:val="00353908"/>
    <w:rsid w:val="0035457E"/>
    <w:rsid w:val="00354862"/>
    <w:rsid w:val="003553AA"/>
    <w:rsid w:val="003554D7"/>
    <w:rsid w:val="00355FD5"/>
    <w:rsid w:val="003620A8"/>
    <w:rsid w:val="00364ABA"/>
    <w:rsid w:val="00364CD5"/>
    <w:rsid w:val="00365AED"/>
    <w:rsid w:val="00367A5B"/>
    <w:rsid w:val="00370951"/>
    <w:rsid w:val="00372412"/>
    <w:rsid w:val="00372914"/>
    <w:rsid w:val="00373A20"/>
    <w:rsid w:val="00374B3F"/>
    <w:rsid w:val="00374D51"/>
    <w:rsid w:val="003753D0"/>
    <w:rsid w:val="00376C2A"/>
    <w:rsid w:val="00376F6A"/>
    <w:rsid w:val="003812FC"/>
    <w:rsid w:val="0038190A"/>
    <w:rsid w:val="0038326D"/>
    <w:rsid w:val="0038331B"/>
    <w:rsid w:val="003844FB"/>
    <w:rsid w:val="00385C0F"/>
    <w:rsid w:val="00387EEF"/>
    <w:rsid w:val="003905CE"/>
    <w:rsid w:val="00391783"/>
    <w:rsid w:val="00391C0A"/>
    <w:rsid w:val="00391FB9"/>
    <w:rsid w:val="0039226B"/>
    <w:rsid w:val="00393643"/>
    <w:rsid w:val="00395C30"/>
    <w:rsid w:val="003A0AD2"/>
    <w:rsid w:val="003A1B4E"/>
    <w:rsid w:val="003A3934"/>
    <w:rsid w:val="003A4319"/>
    <w:rsid w:val="003A4586"/>
    <w:rsid w:val="003A5C9A"/>
    <w:rsid w:val="003A6777"/>
    <w:rsid w:val="003A7623"/>
    <w:rsid w:val="003A7B6C"/>
    <w:rsid w:val="003B098C"/>
    <w:rsid w:val="003B0C90"/>
    <w:rsid w:val="003B0F05"/>
    <w:rsid w:val="003B2743"/>
    <w:rsid w:val="003B2CAB"/>
    <w:rsid w:val="003B4A83"/>
    <w:rsid w:val="003B52F5"/>
    <w:rsid w:val="003B7E5E"/>
    <w:rsid w:val="003C1067"/>
    <w:rsid w:val="003C2925"/>
    <w:rsid w:val="003C3CB1"/>
    <w:rsid w:val="003C6892"/>
    <w:rsid w:val="003D09B4"/>
    <w:rsid w:val="003D15A1"/>
    <w:rsid w:val="003D3DEA"/>
    <w:rsid w:val="003D5511"/>
    <w:rsid w:val="003D740E"/>
    <w:rsid w:val="003D7C90"/>
    <w:rsid w:val="003E034B"/>
    <w:rsid w:val="003E2B0D"/>
    <w:rsid w:val="003E4DE9"/>
    <w:rsid w:val="003E4F8C"/>
    <w:rsid w:val="003E5C93"/>
    <w:rsid w:val="003E6BEF"/>
    <w:rsid w:val="003F190B"/>
    <w:rsid w:val="003F3F41"/>
    <w:rsid w:val="003F4942"/>
    <w:rsid w:val="003F60E5"/>
    <w:rsid w:val="003F718A"/>
    <w:rsid w:val="00402E3C"/>
    <w:rsid w:val="00403013"/>
    <w:rsid w:val="00406FA8"/>
    <w:rsid w:val="0041000B"/>
    <w:rsid w:val="00411044"/>
    <w:rsid w:val="00412C6C"/>
    <w:rsid w:val="004161A7"/>
    <w:rsid w:val="004172F0"/>
    <w:rsid w:val="004274BF"/>
    <w:rsid w:val="00431CB2"/>
    <w:rsid w:val="00432DB8"/>
    <w:rsid w:val="00433351"/>
    <w:rsid w:val="00433CE2"/>
    <w:rsid w:val="00436955"/>
    <w:rsid w:val="00437F01"/>
    <w:rsid w:val="004421E7"/>
    <w:rsid w:val="0044601E"/>
    <w:rsid w:val="00447430"/>
    <w:rsid w:val="00447E27"/>
    <w:rsid w:val="00450004"/>
    <w:rsid w:val="004539E7"/>
    <w:rsid w:val="00454866"/>
    <w:rsid w:val="00454C65"/>
    <w:rsid w:val="00454C7B"/>
    <w:rsid w:val="00456070"/>
    <w:rsid w:val="00460930"/>
    <w:rsid w:val="004644DF"/>
    <w:rsid w:val="00465C36"/>
    <w:rsid w:val="004663BF"/>
    <w:rsid w:val="00467093"/>
    <w:rsid w:val="0046781B"/>
    <w:rsid w:val="004748E9"/>
    <w:rsid w:val="004752F3"/>
    <w:rsid w:val="00475717"/>
    <w:rsid w:val="00476828"/>
    <w:rsid w:val="00483FDF"/>
    <w:rsid w:val="0049106E"/>
    <w:rsid w:val="0049226C"/>
    <w:rsid w:val="004964D5"/>
    <w:rsid w:val="004975F6"/>
    <w:rsid w:val="004A10F6"/>
    <w:rsid w:val="004A2B09"/>
    <w:rsid w:val="004A4A2F"/>
    <w:rsid w:val="004A4DCD"/>
    <w:rsid w:val="004A505B"/>
    <w:rsid w:val="004B06E5"/>
    <w:rsid w:val="004B08BF"/>
    <w:rsid w:val="004B31DA"/>
    <w:rsid w:val="004B404F"/>
    <w:rsid w:val="004B48C0"/>
    <w:rsid w:val="004B702C"/>
    <w:rsid w:val="004C4105"/>
    <w:rsid w:val="004C6FF2"/>
    <w:rsid w:val="004C750B"/>
    <w:rsid w:val="004D0106"/>
    <w:rsid w:val="004D062B"/>
    <w:rsid w:val="004D0D65"/>
    <w:rsid w:val="004D21D8"/>
    <w:rsid w:val="004D49C2"/>
    <w:rsid w:val="004D63BE"/>
    <w:rsid w:val="004E0575"/>
    <w:rsid w:val="004E3999"/>
    <w:rsid w:val="004E3FC2"/>
    <w:rsid w:val="004E44CC"/>
    <w:rsid w:val="004E4A16"/>
    <w:rsid w:val="004E4F09"/>
    <w:rsid w:val="004E5EBF"/>
    <w:rsid w:val="004E6165"/>
    <w:rsid w:val="004E72EA"/>
    <w:rsid w:val="004E7933"/>
    <w:rsid w:val="004F11EE"/>
    <w:rsid w:val="004F5261"/>
    <w:rsid w:val="004F5D20"/>
    <w:rsid w:val="004F6857"/>
    <w:rsid w:val="005014D0"/>
    <w:rsid w:val="0050269E"/>
    <w:rsid w:val="0050432E"/>
    <w:rsid w:val="005106B3"/>
    <w:rsid w:val="005106BC"/>
    <w:rsid w:val="00514350"/>
    <w:rsid w:val="005212D3"/>
    <w:rsid w:val="0052148C"/>
    <w:rsid w:val="00521A6C"/>
    <w:rsid w:val="00521E86"/>
    <w:rsid w:val="005223B9"/>
    <w:rsid w:val="00526789"/>
    <w:rsid w:val="005274FC"/>
    <w:rsid w:val="005301E6"/>
    <w:rsid w:val="00534E61"/>
    <w:rsid w:val="005359DD"/>
    <w:rsid w:val="005367A7"/>
    <w:rsid w:val="00540606"/>
    <w:rsid w:val="00540733"/>
    <w:rsid w:val="005414CA"/>
    <w:rsid w:val="0054195F"/>
    <w:rsid w:val="00544575"/>
    <w:rsid w:val="00550126"/>
    <w:rsid w:val="005519A7"/>
    <w:rsid w:val="00551CB8"/>
    <w:rsid w:val="00552365"/>
    <w:rsid w:val="0055516B"/>
    <w:rsid w:val="00557729"/>
    <w:rsid w:val="00557F72"/>
    <w:rsid w:val="005608A2"/>
    <w:rsid w:val="005627C7"/>
    <w:rsid w:val="00564E7E"/>
    <w:rsid w:val="00565C1F"/>
    <w:rsid w:val="00566402"/>
    <w:rsid w:val="005708B8"/>
    <w:rsid w:val="0057344D"/>
    <w:rsid w:val="00575A5E"/>
    <w:rsid w:val="00575B69"/>
    <w:rsid w:val="005763D1"/>
    <w:rsid w:val="0057693D"/>
    <w:rsid w:val="00577958"/>
    <w:rsid w:val="0058079B"/>
    <w:rsid w:val="00581421"/>
    <w:rsid w:val="005838BB"/>
    <w:rsid w:val="00585C90"/>
    <w:rsid w:val="0058766B"/>
    <w:rsid w:val="005912FC"/>
    <w:rsid w:val="00592BF6"/>
    <w:rsid w:val="00593F4B"/>
    <w:rsid w:val="00594265"/>
    <w:rsid w:val="0059600E"/>
    <w:rsid w:val="00597697"/>
    <w:rsid w:val="005A104C"/>
    <w:rsid w:val="005A69BB"/>
    <w:rsid w:val="005B0392"/>
    <w:rsid w:val="005B318A"/>
    <w:rsid w:val="005B3241"/>
    <w:rsid w:val="005B36A2"/>
    <w:rsid w:val="005B6BE5"/>
    <w:rsid w:val="005B7207"/>
    <w:rsid w:val="005C2048"/>
    <w:rsid w:val="005C6B4D"/>
    <w:rsid w:val="005D025A"/>
    <w:rsid w:val="005D1D6B"/>
    <w:rsid w:val="005D230D"/>
    <w:rsid w:val="005D5842"/>
    <w:rsid w:val="005E1439"/>
    <w:rsid w:val="005E2393"/>
    <w:rsid w:val="005E2BAC"/>
    <w:rsid w:val="005E2E46"/>
    <w:rsid w:val="005E59B5"/>
    <w:rsid w:val="005F0C22"/>
    <w:rsid w:val="005F25E5"/>
    <w:rsid w:val="00600294"/>
    <w:rsid w:val="006058AA"/>
    <w:rsid w:val="00605E35"/>
    <w:rsid w:val="00606D83"/>
    <w:rsid w:val="00612B99"/>
    <w:rsid w:val="00613B57"/>
    <w:rsid w:val="00615534"/>
    <w:rsid w:val="006202BA"/>
    <w:rsid w:val="0062055E"/>
    <w:rsid w:val="0062155A"/>
    <w:rsid w:val="006225EC"/>
    <w:rsid w:val="0063389C"/>
    <w:rsid w:val="00634925"/>
    <w:rsid w:val="00635798"/>
    <w:rsid w:val="00637B2C"/>
    <w:rsid w:val="00637CC7"/>
    <w:rsid w:val="0064181B"/>
    <w:rsid w:val="00644451"/>
    <w:rsid w:val="006453DC"/>
    <w:rsid w:val="00645FDC"/>
    <w:rsid w:val="0064609D"/>
    <w:rsid w:val="006465B7"/>
    <w:rsid w:val="00650BB4"/>
    <w:rsid w:val="006518BC"/>
    <w:rsid w:val="00652D8A"/>
    <w:rsid w:val="006564BA"/>
    <w:rsid w:val="00657E4F"/>
    <w:rsid w:val="00660139"/>
    <w:rsid w:val="006604EF"/>
    <w:rsid w:val="006639FD"/>
    <w:rsid w:val="006643F0"/>
    <w:rsid w:val="006652F6"/>
    <w:rsid w:val="006665A4"/>
    <w:rsid w:val="00670070"/>
    <w:rsid w:val="006704A8"/>
    <w:rsid w:val="006779F9"/>
    <w:rsid w:val="0068074C"/>
    <w:rsid w:val="00680993"/>
    <w:rsid w:val="00680B11"/>
    <w:rsid w:val="00681977"/>
    <w:rsid w:val="00683922"/>
    <w:rsid w:val="00684446"/>
    <w:rsid w:val="006849BA"/>
    <w:rsid w:val="006849F3"/>
    <w:rsid w:val="00684A5F"/>
    <w:rsid w:val="00693913"/>
    <w:rsid w:val="00694A96"/>
    <w:rsid w:val="006A0BF3"/>
    <w:rsid w:val="006A1EDA"/>
    <w:rsid w:val="006A2841"/>
    <w:rsid w:val="006A3941"/>
    <w:rsid w:val="006A70D4"/>
    <w:rsid w:val="006A7D92"/>
    <w:rsid w:val="006B0DF3"/>
    <w:rsid w:val="006B2CBC"/>
    <w:rsid w:val="006B3CE7"/>
    <w:rsid w:val="006B5354"/>
    <w:rsid w:val="006C29EE"/>
    <w:rsid w:val="006C2BC5"/>
    <w:rsid w:val="006C5FA5"/>
    <w:rsid w:val="006C6FA9"/>
    <w:rsid w:val="006C7455"/>
    <w:rsid w:val="006C7A2D"/>
    <w:rsid w:val="006D4116"/>
    <w:rsid w:val="006D60B5"/>
    <w:rsid w:val="006D6BF5"/>
    <w:rsid w:val="006E0171"/>
    <w:rsid w:val="006E0D41"/>
    <w:rsid w:val="006E154E"/>
    <w:rsid w:val="006E2E6C"/>
    <w:rsid w:val="006E364E"/>
    <w:rsid w:val="006E37EE"/>
    <w:rsid w:val="006E4B94"/>
    <w:rsid w:val="006E78EE"/>
    <w:rsid w:val="006E7C0B"/>
    <w:rsid w:val="006F0AF8"/>
    <w:rsid w:val="006F26FB"/>
    <w:rsid w:val="006F5D62"/>
    <w:rsid w:val="00701371"/>
    <w:rsid w:val="00701AB7"/>
    <w:rsid w:val="007061F2"/>
    <w:rsid w:val="007066B7"/>
    <w:rsid w:val="00706953"/>
    <w:rsid w:val="00707D4D"/>
    <w:rsid w:val="0071284E"/>
    <w:rsid w:val="00713355"/>
    <w:rsid w:val="007137DA"/>
    <w:rsid w:val="00714973"/>
    <w:rsid w:val="00714E8A"/>
    <w:rsid w:val="00721A75"/>
    <w:rsid w:val="00727490"/>
    <w:rsid w:val="00727544"/>
    <w:rsid w:val="00727AC5"/>
    <w:rsid w:val="0073088F"/>
    <w:rsid w:val="00731F8C"/>
    <w:rsid w:val="0073269E"/>
    <w:rsid w:val="007344A4"/>
    <w:rsid w:val="00734B1B"/>
    <w:rsid w:val="00741741"/>
    <w:rsid w:val="00741A69"/>
    <w:rsid w:val="00741E71"/>
    <w:rsid w:val="007471D5"/>
    <w:rsid w:val="0074770F"/>
    <w:rsid w:val="00747812"/>
    <w:rsid w:val="00750E5B"/>
    <w:rsid w:val="00756CF3"/>
    <w:rsid w:val="00760DF9"/>
    <w:rsid w:val="00761025"/>
    <w:rsid w:val="00764AD1"/>
    <w:rsid w:val="00767D35"/>
    <w:rsid w:val="00771D09"/>
    <w:rsid w:val="00773FFA"/>
    <w:rsid w:val="00774C0D"/>
    <w:rsid w:val="00774EE7"/>
    <w:rsid w:val="00776016"/>
    <w:rsid w:val="00777D42"/>
    <w:rsid w:val="0078001A"/>
    <w:rsid w:val="00786CD7"/>
    <w:rsid w:val="007910CC"/>
    <w:rsid w:val="00792FF3"/>
    <w:rsid w:val="00793CB0"/>
    <w:rsid w:val="00795287"/>
    <w:rsid w:val="0079576A"/>
    <w:rsid w:val="0079609E"/>
    <w:rsid w:val="007968BB"/>
    <w:rsid w:val="00797382"/>
    <w:rsid w:val="00797C30"/>
    <w:rsid w:val="007A3B0E"/>
    <w:rsid w:val="007A4606"/>
    <w:rsid w:val="007A469E"/>
    <w:rsid w:val="007A506E"/>
    <w:rsid w:val="007A5EE0"/>
    <w:rsid w:val="007A6000"/>
    <w:rsid w:val="007A7B98"/>
    <w:rsid w:val="007B022C"/>
    <w:rsid w:val="007B143D"/>
    <w:rsid w:val="007B15B4"/>
    <w:rsid w:val="007B1B44"/>
    <w:rsid w:val="007B2C19"/>
    <w:rsid w:val="007B571D"/>
    <w:rsid w:val="007B6B31"/>
    <w:rsid w:val="007B734A"/>
    <w:rsid w:val="007C3246"/>
    <w:rsid w:val="007C36DE"/>
    <w:rsid w:val="007C4969"/>
    <w:rsid w:val="007C4EC8"/>
    <w:rsid w:val="007C5413"/>
    <w:rsid w:val="007C5EE5"/>
    <w:rsid w:val="007C6879"/>
    <w:rsid w:val="007D0E76"/>
    <w:rsid w:val="007D10B3"/>
    <w:rsid w:val="007D185D"/>
    <w:rsid w:val="007D330E"/>
    <w:rsid w:val="007D3573"/>
    <w:rsid w:val="007D38B0"/>
    <w:rsid w:val="007D5262"/>
    <w:rsid w:val="007E1F25"/>
    <w:rsid w:val="007E3BD6"/>
    <w:rsid w:val="007E5E03"/>
    <w:rsid w:val="007F331D"/>
    <w:rsid w:val="007F351A"/>
    <w:rsid w:val="007F3CEF"/>
    <w:rsid w:val="007F52AC"/>
    <w:rsid w:val="008017F7"/>
    <w:rsid w:val="008054E8"/>
    <w:rsid w:val="00807B82"/>
    <w:rsid w:val="008101F9"/>
    <w:rsid w:val="008104DA"/>
    <w:rsid w:val="00810DBE"/>
    <w:rsid w:val="00813844"/>
    <w:rsid w:val="0081651B"/>
    <w:rsid w:val="0081721C"/>
    <w:rsid w:val="00817330"/>
    <w:rsid w:val="008201F6"/>
    <w:rsid w:val="00822DEB"/>
    <w:rsid w:val="008257AF"/>
    <w:rsid w:val="008262A4"/>
    <w:rsid w:val="008272EE"/>
    <w:rsid w:val="00830FAE"/>
    <w:rsid w:val="0083232D"/>
    <w:rsid w:val="008354E3"/>
    <w:rsid w:val="00842972"/>
    <w:rsid w:val="00847502"/>
    <w:rsid w:val="00853D4D"/>
    <w:rsid w:val="008551F6"/>
    <w:rsid w:val="00855A68"/>
    <w:rsid w:val="0085786E"/>
    <w:rsid w:val="00860AEB"/>
    <w:rsid w:val="0086143F"/>
    <w:rsid w:val="00864D92"/>
    <w:rsid w:val="00866473"/>
    <w:rsid w:val="00867854"/>
    <w:rsid w:val="00871617"/>
    <w:rsid w:val="00872271"/>
    <w:rsid w:val="00872F47"/>
    <w:rsid w:val="0087336C"/>
    <w:rsid w:val="00874EEE"/>
    <w:rsid w:val="00875C71"/>
    <w:rsid w:val="008765AD"/>
    <w:rsid w:val="00876F6A"/>
    <w:rsid w:val="0088350F"/>
    <w:rsid w:val="00884AB4"/>
    <w:rsid w:val="008875E9"/>
    <w:rsid w:val="00887F36"/>
    <w:rsid w:val="00890979"/>
    <w:rsid w:val="00892FA8"/>
    <w:rsid w:val="008A0478"/>
    <w:rsid w:val="008A0DCB"/>
    <w:rsid w:val="008A2714"/>
    <w:rsid w:val="008A3154"/>
    <w:rsid w:val="008A3638"/>
    <w:rsid w:val="008A54DA"/>
    <w:rsid w:val="008A6ACF"/>
    <w:rsid w:val="008A72D2"/>
    <w:rsid w:val="008B454B"/>
    <w:rsid w:val="008B459D"/>
    <w:rsid w:val="008B4BD7"/>
    <w:rsid w:val="008B4D39"/>
    <w:rsid w:val="008B7B1E"/>
    <w:rsid w:val="008C1BCF"/>
    <w:rsid w:val="008C2FE1"/>
    <w:rsid w:val="008C3846"/>
    <w:rsid w:val="008C587C"/>
    <w:rsid w:val="008C7669"/>
    <w:rsid w:val="008C7788"/>
    <w:rsid w:val="008D1DB2"/>
    <w:rsid w:val="008D1F86"/>
    <w:rsid w:val="008D6403"/>
    <w:rsid w:val="008E22F9"/>
    <w:rsid w:val="008E4C1F"/>
    <w:rsid w:val="008E511D"/>
    <w:rsid w:val="008E5A62"/>
    <w:rsid w:val="008E719A"/>
    <w:rsid w:val="008F0B23"/>
    <w:rsid w:val="008F179D"/>
    <w:rsid w:val="008F1B4B"/>
    <w:rsid w:val="008F3270"/>
    <w:rsid w:val="008F68EA"/>
    <w:rsid w:val="008F71EC"/>
    <w:rsid w:val="0090054E"/>
    <w:rsid w:val="00905805"/>
    <w:rsid w:val="00906631"/>
    <w:rsid w:val="009124EC"/>
    <w:rsid w:val="00915438"/>
    <w:rsid w:val="0092043F"/>
    <w:rsid w:val="00921E60"/>
    <w:rsid w:val="009229ED"/>
    <w:rsid w:val="00924985"/>
    <w:rsid w:val="009258E7"/>
    <w:rsid w:val="00927642"/>
    <w:rsid w:val="0092771B"/>
    <w:rsid w:val="0093323E"/>
    <w:rsid w:val="009333B4"/>
    <w:rsid w:val="009366DC"/>
    <w:rsid w:val="00937CCC"/>
    <w:rsid w:val="00942225"/>
    <w:rsid w:val="00944FA3"/>
    <w:rsid w:val="00945E91"/>
    <w:rsid w:val="00950209"/>
    <w:rsid w:val="0095046D"/>
    <w:rsid w:val="00950F5A"/>
    <w:rsid w:val="00953683"/>
    <w:rsid w:val="00955236"/>
    <w:rsid w:val="00961C51"/>
    <w:rsid w:val="0096530D"/>
    <w:rsid w:val="00967191"/>
    <w:rsid w:val="00967DD9"/>
    <w:rsid w:val="00971CA9"/>
    <w:rsid w:val="00971D91"/>
    <w:rsid w:val="00971F01"/>
    <w:rsid w:val="0097541A"/>
    <w:rsid w:val="00976C98"/>
    <w:rsid w:val="0097748C"/>
    <w:rsid w:val="009775B5"/>
    <w:rsid w:val="00977C18"/>
    <w:rsid w:val="009803D2"/>
    <w:rsid w:val="009811B6"/>
    <w:rsid w:val="00982442"/>
    <w:rsid w:val="00984152"/>
    <w:rsid w:val="00985623"/>
    <w:rsid w:val="00992B88"/>
    <w:rsid w:val="00992F0B"/>
    <w:rsid w:val="009932A1"/>
    <w:rsid w:val="00993E8D"/>
    <w:rsid w:val="00995116"/>
    <w:rsid w:val="00997AB3"/>
    <w:rsid w:val="00997CC8"/>
    <w:rsid w:val="009A058A"/>
    <w:rsid w:val="009A1C21"/>
    <w:rsid w:val="009A3235"/>
    <w:rsid w:val="009A330F"/>
    <w:rsid w:val="009A5A90"/>
    <w:rsid w:val="009A7069"/>
    <w:rsid w:val="009B086A"/>
    <w:rsid w:val="009B31D0"/>
    <w:rsid w:val="009B38A3"/>
    <w:rsid w:val="009C07E3"/>
    <w:rsid w:val="009C0BDE"/>
    <w:rsid w:val="009C0E4E"/>
    <w:rsid w:val="009C23FF"/>
    <w:rsid w:val="009C2F8F"/>
    <w:rsid w:val="009C2F9C"/>
    <w:rsid w:val="009C4EB3"/>
    <w:rsid w:val="009C4FC0"/>
    <w:rsid w:val="009C5E1F"/>
    <w:rsid w:val="009C771B"/>
    <w:rsid w:val="009D181A"/>
    <w:rsid w:val="009D1ACE"/>
    <w:rsid w:val="009D20D0"/>
    <w:rsid w:val="009D2866"/>
    <w:rsid w:val="009D372E"/>
    <w:rsid w:val="009D4516"/>
    <w:rsid w:val="009D4AA3"/>
    <w:rsid w:val="009D4DA6"/>
    <w:rsid w:val="009D5E2B"/>
    <w:rsid w:val="009E23E0"/>
    <w:rsid w:val="009E3476"/>
    <w:rsid w:val="009E3717"/>
    <w:rsid w:val="009E79E1"/>
    <w:rsid w:val="009F2BF5"/>
    <w:rsid w:val="009F2CFF"/>
    <w:rsid w:val="009F33CF"/>
    <w:rsid w:val="009F3442"/>
    <w:rsid w:val="009F3E58"/>
    <w:rsid w:val="009F4C9C"/>
    <w:rsid w:val="009F6D96"/>
    <w:rsid w:val="00A03717"/>
    <w:rsid w:val="00A03C1C"/>
    <w:rsid w:val="00A046F0"/>
    <w:rsid w:val="00A10A8A"/>
    <w:rsid w:val="00A11F3A"/>
    <w:rsid w:val="00A15D7C"/>
    <w:rsid w:val="00A16D6F"/>
    <w:rsid w:val="00A17B7E"/>
    <w:rsid w:val="00A21221"/>
    <w:rsid w:val="00A21730"/>
    <w:rsid w:val="00A2339F"/>
    <w:rsid w:val="00A26E0C"/>
    <w:rsid w:val="00A26FB1"/>
    <w:rsid w:val="00A27C07"/>
    <w:rsid w:val="00A31BF4"/>
    <w:rsid w:val="00A31C76"/>
    <w:rsid w:val="00A320B4"/>
    <w:rsid w:val="00A3274B"/>
    <w:rsid w:val="00A3275E"/>
    <w:rsid w:val="00A3478D"/>
    <w:rsid w:val="00A356D0"/>
    <w:rsid w:val="00A3594C"/>
    <w:rsid w:val="00A36961"/>
    <w:rsid w:val="00A37440"/>
    <w:rsid w:val="00A40145"/>
    <w:rsid w:val="00A431D4"/>
    <w:rsid w:val="00A4358F"/>
    <w:rsid w:val="00A4387C"/>
    <w:rsid w:val="00A447F1"/>
    <w:rsid w:val="00A45941"/>
    <w:rsid w:val="00A46985"/>
    <w:rsid w:val="00A47DC5"/>
    <w:rsid w:val="00A50426"/>
    <w:rsid w:val="00A52155"/>
    <w:rsid w:val="00A527EE"/>
    <w:rsid w:val="00A52F5A"/>
    <w:rsid w:val="00A569E1"/>
    <w:rsid w:val="00A57F73"/>
    <w:rsid w:val="00A629E1"/>
    <w:rsid w:val="00A63DE0"/>
    <w:rsid w:val="00A649DD"/>
    <w:rsid w:val="00A6630E"/>
    <w:rsid w:val="00A723DE"/>
    <w:rsid w:val="00A72749"/>
    <w:rsid w:val="00A7419D"/>
    <w:rsid w:val="00A7480D"/>
    <w:rsid w:val="00A74A74"/>
    <w:rsid w:val="00A75CFC"/>
    <w:rsid w:val="00A761C5"/>
    <w:rsid w:val="00A76575"/>
    <w:rsid w:val="00A77514"/>
    <w:rsid w:val="00A80CAE"/>
    <w:rsid w:val="00A8116D"/>
    <w:rsid w:val="00A8151B"/>
    <w:rsid w:val="00A832B8"/>
    <w:rsid w:val="00A858FA"/>
    <w:rsid w:val="00A868E3"/>
    <w:rsid w:val="00A873D6"/>
    <w:rsid w:val="00A87CFB"/>
    <w:rsid w:val="00A915FE"/>
    <w:rsid w:val="00A919ED"/>
    <w:rsid w:val="00A92638"/>
    <w:rsid w:val="00A9543B"/>
    <w:rsid w:val="00AA0BEB"/>
    <w:rsid w:val="00AA2D97"/>
    <w:rsid w:val="00AA363C"/>
    <w:rsid w:val="00AA58F7"/>
    <w:rsid w:val="00AA5E31"/>
    <w:rsid w:val="00AB06DD"/>
    <w:rsid w:val="00AB0C07"/>
    <w:rsid w:val="00AB330E"/>
    <w:rsid w:val="00AB4214"/>
    <w:rsid w:val="00AB5A20"/>
    <w:rsid w:val="00AB600C"/>
    <w:rsid w:val="00AB6242"/>
    <w:rsid w:val="00AB66DD"/>
    <w:rsid w:val="00AC6EAE"/>
    <w:rsid w:val="00AC7465"/>
    <w:rsid w:val="00AD087D"/>
    <w:rsid w:val="00AD5B1C"/>
    <w:rsid w:val="00AD7090"/>
    <w:rsid w:val="00AD7161"/>
    <w:rsid w:val="00AE1106"/>
    <w:rsid w:val="00AE1107"/>
    <w:rsid w:val="00AE1B40"/>
    <w:rsid w:val="00AE2D9C"/>
    <w:rsid w:val="00AE3D71"/>
    <w:rsid w:val="00AE3E56"/>
    <w:rsid w:val="00AE3F96"/>
    <w:rsid w:val="00AE4C20"/>
    <w:rsid w:val="00AE4C4B"/>
    <w:rsid w:val="00AE73F5"/>
    <w:rsid w:val="00AF55D2"/>
    <w:rsid w:val="00AF5AFA"/>
    <w:rsid w:val="00AF6335"/>
    <w:rsid w:val="00AF6955"/>
    <w:rsid w:val="00B008D0"/>
    <w:rsid w:val="00B0123A"/>
    <w:rsid w:val="00B01ECD"/>
    <w:rsid w:val="00B069A8"/>
    <w:rsid w:val="00B07412"/>
    <w:rsid w:val="00B10CB1"/>
    <w:rsid w:val="00B14E45"/>
    <w:rsid w:val="00B20605"/>
    <w:rsid w:val="00B22BA0"/>
    <w:rsid w:val="00B2308B"/>
    <w:rsid w:val="00B23249"/>
    <w:rsid w:val="00B24DA7"/>
    <w:rsid w:val="00B2626A"/>
    <w:rsid w:val="00B273CE"/>
    <w:rsid w:val="00B30A83"/>
    <w:rsid w:val="00B32443"/>
    <w:rsid w:val="00B32D72"/>
    <w:rsid w:val="00B3481C"/>
    <w:rsid w:val="00B410A8"/>
    <w:rsid w:val="00B4291F"/>
    <w:rsid w:val="00B4696B"/>
    <w:rsid w:val="00B47034"/>
    <w:rsid w:val="00B471C6"/>
    <w:rsid w:val="00B5040E"/>
    <w:rsid w:val="00B51B36"/>
    <w:rsid w:val="00B52C60"/>
    <w:rsid w:val="00B548BB"/>
    <w:rsid w:val="00B54AFD"/>
    <w:rsid w:val="00B55692"/>
    <w:rsid w:val="00B559D8"/>
    <w:rsid w:val="00B55A0E"/>
    <w:rsid w:val="00B57234"/>
    <w:rsid w:val="00B57613"/>
    <w:rsid w:val="00B57D53"/>
    <w:rsid w:val="00B655A7"/>
    <w:rsid w:val="00B65BA9"/>
    <w:rsid w:val="00B66985"/>
    <w:rsid w:val="00B72702"/>
    <w:rsid w:val="00B72ACE"/>
    <w:rsid w:val="00B74845"/>
    <w:rsid w:val="00B75B84"/>
    <w:rsid w:val="00B778A7"/>
    <w:rsid w:val="00B822C5"/>
    <w:rsid w:val="00B84036"/>
    <w:rsid w:val="00B84087"/>
    <w:rsid w:val="00B87320"/>
    <w:rsid w:val="00B954ED"/>
    <w:rsid w:val="00B9666C"/>
    <w:rsid w:val="00BA720F"/>
    <w:rsid w:val="00BB146D"/>
    <w:rsid w:val="00BB33CC"/>
    <w:rsid w:val="00BB4BD7"/>
    <w:rsid w:val="00BB6861"/>
    <w:rsid w:val="00BB6E8E"/>
    <w:rsid w:val="00BB7481"/>
    <w:rsid w:val="00BB7FEB"/>
    <w:rsid w:val="00BC0F43"/>
    <w:rsid w:val="00BC1CBC"/>
    <w:rsid w:val="00BC3113"/>
    <w:rsid w:val="00BC4738"/>
    <w:rsid w:val="00BC565A"/>
    <w:rsid w:val="00BC5E60"/>
    <w:rsid w:val="00BD2E54"/>
    <w:rsid w:val="00BD52B6"/>
    <w:rsid w:val="00BD6DCF"/>
    <w:rsid w:val="00BE1449"/>
    <w:rsid w:val="00BE3177"/>
    <w:rsid w:val="00BE5454"/>
    <w:rsid w:val="00BF04EC"/>
    <w:rsid w:val="00BF124B"/>
    <w:rsid w:val="00BF20D4"/>
    <w:rsid w:val="00BF23FA"/>
    <w:rsid w:val="00BF3187"/>
    <w:rsid w:val="00BF366D"/>
    <w:rsid w:val="00BF37DC"/>
    <w:rsid w:val="00BF5018"/>
    <w:rsid w:val="00BF59B0"/>
    <w:rsid w:val="00C0092E"/>
    <w:rsid w:val="00C01286"/>
    <w:rsid w:val="00C02116"/>
    <w:rsid w:val="00C043DA"/>
    <w:rsid w:val="00C062F8"/>
    <w:rsid w:val="00C06B72"/>
    <w:rsid w:val="00C1272B"/>
    <w:rsid w:val="00C1444D"/>
    <w:rsid w:val="00C23935"/>
    <w:rsid w:val="00C300A1"/>
    <w:rsid w:val="00C30B3C"/>
    <w:rsid w:val="00C31D58"/>
    <w:rsid w:val="00C33076"/>
    <w:rsid w:val="00C41392"/>
    <w:rsid w:val="00C41C4E"/>
    <w:rsid w:val="00C43AF1"/>
    <w:rsid w:val="00C45016"/>
    <w:rsid w:val="00C452C3"/>
    <w:rsid w:val="00C45F1F"/>
    <w:rsid w:val="00C4625A"/>
    <w:rsid w:val="00C462E7"/>
    <w:rsid w:val="00C46824"/>
    <w:rsid w:val="00C46D5D"/>
    <w:rsid w:val="00C47D35"/>
    <w:rsid w:val="00C51206"/>
    <w:rsid w:val="00C52B87"/>
    <w:rsid w:val="00C64CF2"/>
    <w:rsid w:val="00C67799"/>
    <w:rsid w:val="00C72827"/>
    <w:rsid w:val="00C73BDC"/>
    <w:rsid w:val="00C75A27"/>
    <w:rsid w:val="00C803B3"/>
    <w:rsid w:val="00C809BA"/>
    <w:rsid w:val="00C82A5D"/>
    <w:rsid w:val="00C82FF3"/>
    <w:rsid w:val="00C83223"/>
    <w:rsid w:val="00C84384"/>
    <w:rsid w:val="00C90EC1"/>
    <w:rsid w:val="00C93286"/>
    <w:rsid w:val="00C93F33"/>
    <w:rsid w:val="00C94215"/>
    <w:rsid w:val="00C948C5"/>
    <w:rsid w:val="00C950E6"/>
    <w:rsid w:val="00C95DF4"/>
    <w:rsid w:val="00C95F1B"/>
    <w:rsid w:val="00C97590"/>
    <w:rsid w:val="00CA09E2"/>
    <w:rsid w:val="00CA36B9"/>
    <w:rsid w:val="00CA38B7"/>
    <w:rsid w:val="00CA3AD7"/>
    <w:rsid w:val="00CA44CE"/>
    <w:rsid w:val="00CA45FE"/>
    <w:rsid w:val="00CA4A06"/>
    <w:rsid w:val="00CA635B"/>
    <w:rsid w:val="00CA6391"/>
    <w:rsid w:val="00CB35C5"/>
    <w:rsid w:val="00CB3F68"/>
    <w:rsid w:val="00CB5D5D"/>
    <w:rsid w:val="00CC1B3E"/>
    <w:rsid w:val="00CC24B7"/>
    <w:rsid w:val="00CC2F20"/>
    <w:rsid w:val="00CC39C2"/>
    <w:rsid w:val="00CC53CD"/>
    <w:rsid w:val="00CC7155"/>
    <w:rsid w:val="00CC7841"/>
    <w:rsid w:val="00CD1276"/>
    <w:rsid w:val="00CD16C7"/>
    <w:rsid w:val="00CD251A"/>
    <w:rsid w:val="00CD2BB3"/>
    <w:rsid w:val="00CD2EC1"/>
    <w:rsid w:val="00CD3A86"/>
    <w:rsid w:val="00CD6199"/>
    <w:rsid w:val="00CD6E84"/>
    <w:rsid w:val="00CD6EFF"/>
    <w:rsid w:val="00CE32C4"/>
    <w:rsid w:val="00CE43A3"/>
    <w:rsid w:val="00CE4F06"/>
    <w:rsid w:val="00CE50EF"/>
    <w:rsid w:val="00CE545F"/>
    <w:rsid w:val="00CE6EAB"/>
    <w:rsid w:val="00CE75DD"/>
    <w:rsid w:val="00CF07A7"/>
    <w:rsid w:val="00CF13C1"/>
    <w:rsid w:val="00CF1B23"/>
    <w:rsid w:val="00CF4D0D"/>
    <w:rsid w:val="00CF6AF3"/>
    <w:rsid w:val="00D003DD"/>
    <w:rsid w:val="00D01BFD"/>
    <w:rsid w:val="00D0207F"/>
    <w:rsid w:val="00D02D1E"/>
    <w:rsid w:val="00D0366E"/>
    <w:rsid w:val="00D041BE"/>
    <w:rsid w:val="00D04A96"/>
    <w:rsid w:val="00D079E5"/>
    <w:rsid w:val="00D11EC3"/>
    <w:rsid w:val="00D207F5"/>
    <w:rsid w:val="00D264C1"/>
    <w:rsid w:val="00D27439"/>
    <w:rsid w:val="00D32106"/>
    <w:rsid w:val="00D33B41"/>
    <w:rsid w:val="00D33D1A"/>
    <w:rsid w:val="00D40E8D"/>
    <w:rsid w:val="00D437E8"/>
    <w:rsid w:val="00D471AE"/>
    <w:rsid w:val="00D471FE"/>
    <w:rsid w:val="00D50A28"/>
    <w:rsid w:val="00D521A4"/>
    <w:rsid w:val="00D52E5C"/>
    <w:rsid w:val="00D553C3"/>
    <w:rsid w:val="00D55F7E"/>
    <w:rsid w:val="00D57592"/>
    <w:rsid w:val="00D57E4B"/>
    <w:rsid w:val="00D61074"/>
    <w:rsid w:val="00D619F7"/>
    <w:rsid w:val="00D63179"/>
    <w:rsid w:val="00D6459F"/>
    <w:rsid w:val="00D6680D"/>
    <w:rsid w:val="00D675A2"/>
    <w:rsid w:val="00D67A86"/>
    <w:rsid w:val="00D67EDF"/>
    <w:rsid w:val="00D75BC0"/>
    <w:rsid w:val="00D764B1"/>
    <w:rsid w:val="00D76501"/>
    <w:rsid w:val="00D77A42"/>
    <w:rsid w:val="00D81131"/>
    <w:rsid w:val="00D81C86"/>
    <w:rsid w:val="00D84C60"/>
    <w:rsid w:val="00D873B3"/>
    <w:rsid w:val="00D87E0D"/>
    <w:rsid w:val="00D9425A"/>
    <w:rsid w:val="00D95AB9"/>
    <w:rsid w:val="00D96754"/>
    <w:rsid w:val="00D96866"/>
    <w:rsid w:val="00DA62EA"/>
    <w:rsid w:val="00DA62EB"/>
    <w:rsid w:val="00DB0E4D"/>
    <w:rsid w:val="00DB7F55"/>
    <w:rsid w:val="00DC0117"/>
    <w:rsid w:val="00DC0121"/>
    <w:rsid w:val="00DC1E43"/>
    <w:rsid w:val="00DC25FA"/>
    <w:rsid w:val="00DC384A"/>
    <w:rsid w:val="00DC668F"/>
    <w:rsid w:val="00DD0022"/>
    <w:rsid w:val="00DD1C83"/>
    <w:rsid w:val="00DD3962"/>
    <w:rsid w:val="00DD3E76"/>
    <w:rsid w:val="00DD5132"/>
    <w:rsid w:val="00DE1E61"/>
    <w:rsid w:val="00DE2704"/>
    <w:rsid w:val="00DE2912"/>
    <w:rsid w:val="00DE2D67"/>
    <w:rsid w:val="00DE350D"/>
    <w:rsid w:val="00DE531B"/>
    <w:rsid w:val="00DE752B"/>
    <w:rsid w:val="00DE7B19"/>
    <w:rsid w:val="00DE7FCB"/>
    <w:rsid w:val="00DF0188"/>
    <w:rsid w:val="00DF098B"/>
    <w:rsid w:val="00DF1009"/>
    <w:rsid w:val="00DF1499"/>
    <w:rsid w:val="00DF24C1"/>
    <w:rsid w:val="00DF7882"/>
    <w:rsid w:val="00E00621"/>
    <w:rsid w:val="00E0202D"/>
    <w:rsid w:val="00E02CEE"/>
    <w:rsid w:val="00E06455"/>
    <w:rsid w:val="00E07EB5"/>
    <w:rsid w:val="00E16CD0"/>
    <w:rsid w:val="00E1705F"/>
    <w:rsid w:val="00E23264"/>
    <w:rsid w:val="00E23DAB"/>
    <w:rsid w:val="00E26115"/>
    <w:rsid w:val="00E262B8"/>
    <w:rsid w:val="00E30645"/>
    <w:rsid w:val="00E309E6"/>
    <w:rsid w:val="00E31A4F"/>
    <w:rsid w:val="00E32256"/>
    <w:rsid w:val="00E36201"/>
    <w:rsid w:val="00E36277"/>
    <w:rsid w:val="00E37050"/>
    <w:rsid w:val="00E37496"/>
    <w:rsid w:val="00E40717"/>
    <w:rsid w:val="00E430CB"/>
    <w:rsid w:val="00E43FF6"/>
    <w:rsid w:val="00E442F1"/>
    <w:rsid w:val="00E45795"/>
    <w:rsid w:val="00E46643"/>
    <w:rsid w:val="00E46C3E"/>
    <w:rsid w:val="00E5040F"/>
    <w:rsid w:val="00E50ABE"/>
    <w:rsid w:val="00E54055"/>
    <w:rsid w:val="00E54E6F"/>
    <w:rsid w:val="00E55BEF"/>
    <w:rsid w:val="00E626F1"/>
    <w:rsid w:val="00E629A9"/>
    <w:rsid w:val="00E6418E"/>
    <w:rsid w:val="00E6430A"/>
    <w:rsid w:val="00E65885"/>
    <w:rsid w:val="00E65FFC"/>
    <w:rsid w:val="00E70466"/>
    <w:rsid w:val="00E73915"/>
    <w:rsid w:val="00E74855"/>
    <w:rsid w:val="00E74DEC"/>
    <w:rsid w:val="00E80BC2"/>
    <w:rsid w:val="00E84238"/>
    <w:rsid w:val="00E84B68"/>
    <w:rsid w:val="00E8700F"/>
    <w:rsid w:val="00E87455"/>
    <w:rsid w:val="00E87F69"/>
    <w:rsid w:val="00E91914"/>
    <w:rsid w:val="00E945C4"/>
    <w:rsid w:val="00E969DF"/>
    <w:rsid w:val="00E97C67"/>
    <w:rsid w:val="00EA1580"/>
    <w:rsid w:val="00EA3E47"/>
    <w:rsid w:val="00EA53DF"/>
    <w:rsid w:val="00EA6EAE"/>
    <w:rsid w:val="00EB2397"/>
    <w:rsid w:val="00EB6013"/>
    <w:rsid w:val="00EB7F0A"/>
    <w:rsid w:val="00EC2B2E"/>
    <w:rsid w:val="00EC2EE5"/>
    <w:rsid w:val="00EC4CA3"/>
    <w:rsid w:val="00EC614D"/>
    <w:rsid w:val="00EC6E71"/>
    <w:rsid w:val="00ED0CEF"/>
    <w:rsid w:val="00ED1338"/>
    <w:rsid w:val="00ED14AF"/>
    <w:rsid w:val="00ED3751"/>
    <w:rsid w:val="00ED3C0C"/>
    <w:rsid w:val="00ED436F"/>
    <w:rsid w:val="00ED478B"/>
    <w:rsid w:val="00EE07C2"/>
    <w:rsid w:val="00EE29A3"/>
    <w:rsid w:val="00EE33EE"/>
    <w:rsid w:val="00EE3822"/>
    <w:rsid w:val="00EF1199"/>
    <w:rsid w:val="00EF1ADD"/>
    <w:rsid w:val="00EF1FA7"/>
    <w:rsid w:val="00EF63A4"/>
    <w:rsid w:val="00EF6AAD"/>
    <w:rsid w:val="00F01D21"/>
    <w:rsid w:val="00F02254"/>
    <w:rsid w:val="00F037EB"/>
    <w:rsid w:val="00F041D6"/>
    <w:rsid w:val="00F04BFE"/>
    <w:rsid w:val="00F06EE1"/>
    <w:rsid w:val="00F10F07"/>
    <w:rsid w:val="00F11D94"/>
    <w:rsid w:val="00F14A1C"/>
    <w:rsid w:val="00F14B36"/>
    <w:rsid w:val="00F21DDD"/>
    <w:rsid w:val="00F22986"/>
    <w:rsid w:val="00F24265"/>
    <w:rsid w:val="00F263EB"/>
    <w:rsid w:val="00F26B62"/>
    <w:rsid w:val="00F270F9"/>
    <w:rsid w:val="00F30AE9"/>
    <w:rsid w:val="00F324F6"/>
    <w:rsid w:val="00F407F1"/>
    <w:rsid w:val="00F40C7C"/>
    <w:rsid w:val="00F40EE2"/>
    <w:rsid w:val="00F416BF"/>
    <w:rsid w:val="00F419CB"/>
    <w:rsid w:val="00F425B0"/>
    <w:rsid w:val="00F47773"/>
    <w:rsid w:val="00F53888"/>
    <w:rsid w:val="00F55509"/>
    <w:rsid w:val="00F62CC6"/>
    <w:rsid w:val="00F632B8"/>
    <w:rsid w:val="00F6388A"/>
    <w:rsid w:val="00F63AF5"/>
    <w:rsid w:val="00F64479"/>
    <w:rsid w:val="00F65C77"/>
    <w:rsid w:val="00F66CBE"/>
    <w:rsid w:val="00F674BD"/>
    <w:rsid w:val="00F70C28"/>
    <w:rsid w:val="00F70D06"/>
    <w:rsid w:val="00F8065A"/>
    <w:rsid w:val="00F81746"/>
    <w:rsid w:val="00F8210C"/>
    <w:rsid w:val="00F82F5E"/>
    <w:rsid w:val="00F84368"/>
    <w:rsid w:val="00F84760"/>
    <w:rsid w:val="00F85673"/>
    <w:rsid w:val="00F86387"/>
    <w:rsid w:val="00F90147"/>
    <w:rsid w:val="00F91E72"/>
    <w:rsid w:val="00F93A18"/>
    <w:rsid w:val="00F95F72"/>
    <w:rsid w:val="00F96F6C"/>
    <w:rsid w:val="00FA5A1A"/>
    <w:rsid w:val="00FA6EBA"/>
    <w:rsid w:val="00FA7146"/>
    <w:rsid w:val="00FB075C"/>
    <w:rsid w:val="00FB0D4C"/>
    <w:rsid w:val="00FB1ED0"/>
    <w:rsid w:val="00FB3C35"/>
    <w:rsid w:val="00FB4012"/>
    <w:rsid w:val="00FB4B28"/>
    <w:rsid w:val="00FB6860"/>
    <w:rsid w:val="00FC0D15"/>
    <w:rsid w:val="00FC296D"/>
    <w:rsid w:val="00FC388B"/>
    <w:rsid w:val="00FC6108"/>
    <w:rsid w:val="00FC68B3"/>
    <w:rsid w:val="00FD073F"/>
    <w:rsid w:val="00FD545A"/>
    <w:rsid w:val="00FD6AD8"/>
    <w:rsid w:val="00FE0791"/>
    <w:rsid w:val="00FE1481"/>
    <w:rsid w:val="00FE1CB5"/>
    <w:rsid w:val="00FE59AB"/>
    <w:rsid w:val="00FE759E"/>
    <w:rsid w:val="00FE7820"/>
    <w:rsid w:val="00FF1BB7"/>
    <w:rsid w:val="00FF2ECB"/>
    <w:rsid w:val="00FF3B92"/>
    <w:rsid w:val="00FF63BC"/>
    <w:rsid w:val="00FF645A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F74FA"/>
  <w14:defaultImageDpi w14:val="32767"/>
  <w15:chartTrackingRefBased/>
  <w15:docId w15:val="{F597ED4E-09DF-124A-98E3-B1F5C02B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06DD"/>
    <w:rPr>
      <w:rFonts w:ascii="Times New Roman" w:eastAsia="Times New Roman" w:hAnsi="Times New Roman" w:cs="Times New Roman"/>
      <w:lang w:val="fr-CA" w:eastAsia="fr-CA"/>
    </w:rPr>
  </w:style>
  <w:style w:type="paragraph" w:styleId="Heading1">
    <w:name w:val="heading 1"/>
    <w:basedOn w:val="Normal"/>
    <w:link w:val="Heading1Char"/>
    <w:uiPriority w:val="9"/>
    <w:qFormat/>
    <w:rsid w:val="00EB23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3F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93F4B"/>
  </w:style>
  <w:style w:type="character" w:customStyle="1" w:styleId="CommentTextChar">
    <w:name w:val="Comment Text Char"/>
    <w:basedOn w:val="DefaultParagraphFont"/>
    <w:link w:val="CommentText"/>
    <w:uiPriority w:val="99"/>
    <w:rsid w:val="00593F4B"/>
    <w:rPr>
      <w:rFonts w:eastAsiaTheme="minorEastAsia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593F4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F4B"/>
    <w:rPr>
      <w:rFonts w:eastAsiaTheme="minorEastAsia"/>
      <w:lang w:eastAsia="fr-FR"/>
    </w:rPr>
  </w:style>
  <w:style w:type="character" w:styleId="PageNumber">
    <w:name w:val="page number"/>
    <w:basedOn w:val="DefaultParagraphFont"/>
    <w:uiPriority w:val="99"/>
    <w:semiHidden/>
    <w:unhideWhenUsed/>
    <w:rsid w:val="00593F4B"/>
  </w:style>
  <w:style w:type="paragraph" w:styleId="BalloonText">
    <w:name w:val="Balloon Text"/>
    <w:basedOn w:val="Normal"/>
    <w:link w:val="BalloonTextChar"/>
    <w:uiPriority w:val="99"/>
    <w:semiHidden/>
    <w:unhideWhenUsed/>
    <w:rsid w:val="00593F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4B"/>
    <w:rPr>
      <w:rFonts w:ascii="Times New Roman" w:eastAsiaTheme="minorEastAsia" w:hAnsi="Times New Roman" w:cs="Times New Roman"/>
      <w:sz w:val="18"/>
      <w:szCs w:val="18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D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D91"/>
    <w:rPr>
      <w:rFonts w:eastAsiaTheme="minorEastAsia"/>
      <w:b/>
      <w:bCs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0E78F8"/>
    <w:rPr>
      <w:color w:val="0000FF"/>
      <w:u w:val="single"/>
    </w:rPr>
  </w:style>
  <w:style w:type="paragraph" w:customStyle="1" w:styleId="Titre1">
    <w:name w:val="Titre1"/>
    <w:basedOn w:val="Normal"/>
    <w:rsid w:val="00A3594C"/>
    <w:pPr>
      <w:spacing w:before="100" w:beforeAutospacing="1" w:after="100" w:afterAutospacing="1"/>
    </w:pPr>
    <w:rPr>
      <w:lang w:val="en-CA" w:eastAsia="en-CA"/>
    </w:rPr>
  </w:style>
  <w:style w:type="paragraph" w:customStyle="1" w:styleId="desc">
    <w:name w:val="desc"/>
    <w:basedOn w:val="Normal"/>
    <w:rsid w:val="00A3594C"/>
    <w:pPr>
      <w:spacing w:before="100" w:beforeAutospacing="1" w:after="100" w:afterAutospacing="1"/>
    </w:pPr>
    <w:rPr>
      <w:lang w:val="en-CA" w:eastAsia="en-CA"/>
    </w:rPr>
  </w:style>
  <w:style w:type="paragraph" w:customStyle="1" w:styleId="details">
    <w:name w:val="details"/>
    <w:basedOn w:val="Normal"/>
    <w:rsid w:val="00A3594C"/>
    <w:pPr>
      <w:spacing w:before="100" w:beforeAutospacing="1" w:after="100" w:afterAutospacing="1"/>
    </w:pPr>
    <w:rPr>
      <w:lang w:val="en-CA" w:eastAsia="en-CA"/>
    </w:rPr>
  </w:style>
  <w:style w:type="character" w:customStyle="1" w:styleId="jrnl">
    <w:name w:val="jrnl"/>
    <w:basedOn w:val="DefaultParagraphFont"/>
    <w:rsid w:val="00A3594C"/>
  </w:style>
  <w:style w:type="character" w:styleId="FollowedHyperlink">
    <w:name w:val="FollowedHyperlink"/>
    <w:basedOn w:val="DefaultParagraphFont"/>
    <w:uiPriority w:val="99"/>
    <w:semiHidden/>
    <w:unhideWhenUsed/>
    <w:rsid w:val="00D61074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rsid w:val="00FE0791"/>
    <w:pPr>
      <w:jc w:val="center"/>
    </w:pPr>
    <w:rPr>
      <w:rFonts w:eastAsiaTheme="minorEastAsia"/>
      <w:lang w:val="fr-FR" w:eastAsia="fr-FR"/>
    </w:rPr>
  </w:style>
  <w:style w:type="paragraph" w:customStyle="1" w:styleId="EndNoteBibliography">
    <w:name w:val="EndNote Bibliography"/>
    <w:basedOn w:val="Normal"/>
    <w:link w:val="EndNoteBibliographyChar"/>
    <w:rsid w:val="00FE0791"/>
    <w:pPr>
      <w:spacing w:line="480" w:lineRule="auto"/>
    </w:pPr>
    <w:rPr>
      <w:rFonts w:eastAsiaTheme="minorEastAsia"/>
      <w:lang w:val="fr-FR" w:eastAsia="fr-FR"/>
    </w:rPr>
  </w:style>
  <w:style w:type="paragraph" w:styleId="Revision">
    <w:name w:val="Revision"/>
    <w:hidden/>
    <w:uiPriority w:val="99"/>
    <w:semiHidden/>
    <w:rsid w:val="00374D51"/>
    <w:rPr>
      <w:rFonts w:eastAsiaTheme="minorEastAsia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1754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4AE"/>
    <w:rPr>
      <w:rFonts w:eastAsiaTheme="minorEastAsia"/>
      <w:lang w:eastAsia="fr-FR"/>
    </w:rPr>
  </w:style>
  <w:style w:type="paragraph" w:styleId="ListParagraph">
    <w:name w:val="List Paragraph"/>
    <w:basedOn w:val="Normal"/>
    <w:uiPriority w:val="34"/>
    <w:qFormat/>
    <w:rsid w:val="00234598"/>
    <w:pPr>
      <w:ind w:left="720"/>
    </w:pPr>
    <w:rPr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8326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87F36"/>
    <w:rPr>
      <w:i/>
      <w:iCs/>
    </w:rPr>
  </w:style>
  <w:style w:type="table" w:styleId="PlainTable1">
    <w:name w:val="Plain Table 1"/>
    <w:basedOn w:val="TableNormal"/>
    <w:uiPriority w:val="41"/>
    <w:rsid w:val="00A57F73"/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E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2397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1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1FB9"/>
    <w:rPr>
      <w:rFonts w:ascii="Courier New" w:eastAsia="Times New Roman" w:hAnsi="Courier New" w:cs="Courier New"/>
      <w:sz w:val="20"/>
      <w:szCs w:val="20"/>
      <w:lang w:val="fr-CA" w:eastAsia="fr-FR"/>
    </w:rPr>
  </w:style>
  <w:style w:type="character" w:customStyle="1" w:styleId="EndNoteBibliographyChar">
    <w:name w:val="EndNote Bibliography Char"/>
    <w:basedOn w:val="DefaultParagraphFont"/>
    <w:link w:val="EndNoteBibliography"/>
    <w:rsid w:val="00282630"/>
    <w:rPr>
      <w:rFonts w:ascii="Times New Roman" w:eastAsiaTheme="minorEastAsia" w:hAnsi="Times New Roman" w:cs="Times New Roman"/>
      <w:lang w:eastAsia="fr-FR"/>
    </w:rPr>
  </w:style>
  <w:style w:type="character" w:customStyle="1" w:styleId="apple-converted-space">
    <w:name w:val="apple-converted-space"/>
    <w:basedOn w:val="DefaultParagraphFont"/>
    <w:rsid w:val="00E37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7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9" w:color="auto"/>
            <w:bottom w:val="none" w:sz="0" w:space="0" w:color="auto"/>
            <w:right w:val="none" w:sz="0" w:space="0" w:color="auto"/>
          </w:divBdr>
        </w:div>
      </w:divsChild>
    </w:div>
    <w:div w:id="1541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5E783C-2EBE-A74C-B59C-415DFD98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1553</Words>
  <Characters>9568</Characters>
  <Application>Microsoft Office Word</Application>
  <DocSecurity>0</DocSecurity>
  <Lines>144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Stefanie Perrier</cp:lastModifiedBy>
  <cp:revision>11</cp:revision>
  <dcterms:created xsi:type="dcterms:W3CDTF">2020-03-02T15:07:00Z</dcterms:created>
  <dcterms:modified xsi:type="dcterms:W3CDTF">2020-03-06T15:25:00Z</dcterms:modified>
  <cp:category/>
</cp:coreProperties>
</file>