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0DA2" w14:textId="76AAC7F4" w:rsidR="00A45749" w:rsidRDefault="00A45749" w:rsidP="00A45749">
      <w:pPr>
        <w:spacing w:line="480" w:lineRule="auto"/>
        <w:jc w:val="center"/>
        <w:rPr>
          <w:b/>
          <w:sz w:val="28"/>
          <w:szCs w:val="28"/>
        </w:rPr>
      </w:pPr>
      <w:r>
        <w:rPr>
          <w:b/>
          <w:sz w:val="28"/>
          <w:szCs w:val="28"/>
        </w:rPr>
        <w:t xml:space="preserve">Supplementary </w:t>
      </w:r>
      <w:r w:rsidR="006D55FF">
        <w:rPr>
          <w:b/>
          <w:sz w:val="28"/>
          <w:szCs w:val="28"/>
        </w:rPr>
        <w:t>material</w:t>
      </w:r>
    </w:p>
    <w:p w14:paraId="661EF8A2" w14:textId="77777777" w:rsidR="00A45749" w:rsidRDefault="00A45749" w:rsidP="00A45749">
      <w:pPr>
        <w:spacing w:line="480" w:lineRule="auto"/>
        <w:jc w:val="both"/>
        <w:rPr>
          <w:b/>
          <w:sz w:val="28"/>
          <w:szCs w:val="28"/>
        </w:rPr>
      </w:pPr>
    </w:p>
    <w:p w14:paraId="2941317D" w14:textId="62515B0D" w:rsidR="00A45749" w:rsidRPr="00AE03C9" w:rsidRDefault="00A45749" w:rsidP="00A45749">
      <w:pPr>
        <w:spacing w:line="480" w:lineRule="auto"/>
        <w:jc w:val="both"/>
        <w:rPr>
          <w:b/>
          <w:sz w:val="28"/>
          <w:szCs w:val="28"/>
        </w:rPr>
      </w:pPr>
      <w:r>
        <w:rPr>
          <w:b/>
          <w:sz w:val="28"/>
          <w:szCs w:val="28"/>
        </w:rPr>
        <w:t>Materials and Methods</w:t>
      </w:r>
    </w:p>
    <w:p w14:paraId="484E484B" w14:textId="77777777" w:rsidR="00A45749" w:rsidRPr="00140F10" w:rsidRDefault="00A45749" w:rsidP="006D55FF">
      <w:pPr>
        <w:pStyle w:val="BodyText"/>
        <w:spacing w:after="120" w:line="480" w:lineRule="auto"/>
        <w:rPr>
          <w:rFonts w:ascii="Times New Roman" w:eastAsia="Times New Roman" w:hAnsi="Times New Roman" w:cs="Times New Roman"/>
          <w:b/>
          <w:bCs/>
          <w:sz w:val="24"/>
          <w:szCs w:val="24"/>
        </w:rPr>
      </w:pPr>
      <w:r w:rsidRPr="00140F10">
        <w:rPr>
          <w:rFonts w:ascii="Times New Roman" w:hAnsi="Times New Roman" w:cs="Times New Roman"/>
          <w:b/>
          <w:bCs/>
          <w:sz w:val="24"/>
          <w:szCs w:val="24"/>
          <w:lang w:val="en-US"/>
        </w:rPr>
        <w:t>DNA and RNA isolation</w:t>
      </w:r>
    </w:p>
    <w:p w14:paraId="7E383C29" w14:textId="4D3542CE" w:rsidR="00A45749" w:rsidRDefault="00A45749" w:rsidP="006D55FF">
      <w:pPr>
        <w:pStyle w:val="BodyText"/>
        <w:spacing w:after="120" w:line="480" w:lineRule="auto"/>
        <w:ind w:left="3"/>
        <w:rPr>
          <w:rFonts w:ascii="Times New Roman" w:hAnsi="Times New Roman" w:cs="Times New Roman"/>
          <w:sz w:val="24"/>
          <w:szCs w:val="24"/>
          <w:lang w:val="en-US"/>
        </w:rPr>
      </w:pPr>
      <w:r w:rsidRPr="00140F10">
        <w:rPr>
          <w:rFonts w:ascii="Times New Roman" w:hAnsi="Times New Roman" w:cs="Times New Roman"/>
          <w:sz w:val="24"/>
          <w:szCs w:val="24"/>
          <w:lang w:val="en-US"/>
        </w:rPr>
        <w:t xml:space="preserve">Genomic DNA from the patients and their parents was isolated from EDTA-blood or fibroblasts (in the case of the deceased patient) using the </w:t>
      </w:r>
      <w:proofErr w:type="spellStart"/>
      <w:r w:rsidRPr="00140F10">
        <w:rPr>
          <w:rFonts w:ascii="Times New Roman" w:hAnsi="Times New Roman" w:cs="Times New Roman"/>
          <w:sz w:val="24"/>
          <w:szCs w:val="24"/>
          <w:lang w:val="en-US"/>
        </w:rPr>
        <w:t>QIAamp</w:t>
      </w:r>
      <w:proofErr w:type="spellEnd"/>
      <w:r w:rsidRPr="00140F10">
        <w:rPr>
          <w:rFonts w:ascii="Times New Roman" w:hAnsi="Times New Roman" w:cs="Times New Roman"/>
          <w:sz w:val="24"/>
          <w:szCs w:val="24"/>
          <w:lang w:val="en-US"/>
        </w:rPr>
        <w:t xml:space="preserve"> DNA Midi Kit (Qiagen). For RNA analysis, 1x10</w:t>
      </w:r>
      <w:r w:rsidRPr="00B338D5">
        <w:rPr>
          <w:rFonts w:ascii="Times New Roman" w:hAnsi="Times New Roman" w:cs="Times New Roman"/>
          <w:sz w:val="24"/>
          <w:szCs w:val="24"/>
          <w:vertAlign w:val="superscript"/>
          <w:lang w:val="en-US"/>
        </w:rPr>
        <w:t>7</w:t>
      </w:r>
      <w:r w:rsidRPr="00140F10">
        <w:rPr>
          <w:rFonts w:ascii="Times New Roman" w:hAnsi="Times New Roman" w:cs="Times New Roman"/>
          <w:sz w:val="24"/>
          <w:szCs w:val="24"/>
          <w:lang w:val="en-US"/>
        </w:rPr>
        <w:t xml:space="preserve"> fibroblasts, from both patients and parents, were cultured and total RNA was isolated using the RNeasy mini kit (Qiagen). </w:t>
      </w:r>
    </w:p>
    <w:p w14:paraId="61ACE991" w14:textId="41895BE8" w:rsidR="00A45749" w:rsidRDefault="00A45749" w:rsidP="006D55FF">
      <w:pPr>
        <w:pStyle w:val="BodyText"/>
        <w:spacing w:after="120" w:line="480" w:lineRule="auto"/>
        <w:rPr>
          <w:rFonts w:ascii="Times New Roman" w:hAnsi="Times New Roman" w:cs="Times New Roman"/>
          <w:sz w:val="24"/>
          <w:szCs w:val="24"/>
          <w:lang w:val="en-US"/>
        </w:rPr>
      </w:pPr>
      <w:r w:rsidRPr="00140F10">
        <w:rPr>
          <w:rFonts w:ascii="Times New Roman" w:hAnsi="Times New Roman" w:cs="Times New Roman"/>
          <w:b/>
          <w:bCs/>
          <w:sz w:val="24"/>
          <w:szCs w:val="24"/>
          <w:lang w:val="en-US"/>
        </w:rPr>
        <w:t xml:space="preserve">Molecular analysis of </w:t>
      </w:r>
      <w:r w:rsidRPr="00140F10">
        <w:rPr>
          <w:rFonts w:ascii="Times New Roman" w:hAnsi="Times New Roman" w:cs="Times New Roman"/>
          <w:b/>
          <w:bCs/>
          <w:i/>
          <w:iCs/>
          <w:sz w:val="24"/>
          <w:szCs w:val="24"/>
          <w:lang w:val="en-US"/>
        </w:rPr>
        <w:t>SLC12A2</w:t>
      </w:r>
    </w:p>
    <w:p w14:paraId="46D73DB5" w14:textId="6A4B313D" w:rsidR="00A45749" w:rsidRPr="00140F10" w:rsidRDefault="00A45749" w:rsidP="006D55FF">
      <w:pPr>
        <w:pStyle w:val="BodyText"/>
        <w:spacing w:after="120" w:line="480" w:lineRule="auto"/>
        <w:rPr>
          <w:rFonts w:ascii="Times New Roman" w:eastAsia="Times New Roman" w:hAnsi="Times New Roman" w:cs="Times New Roman"/>
          <w:sz w:val="24"/>
          <w:szCs w:val="24"/>
        </w:rPr>
      </w:pPr>
      <w:r w:rsidRPr="00140F10">
        <w:rPr>
          <w:rFonts w:ascii="Times New Roman" w:hAnsi="Times New Roman" w:cs="Times New Roman"/>
          <w:sz w:val="24"/>
          <w:szCs w:val="24"/>
          <w:lang w:val="en-US"/>
        </w:rPr>
        <w:t xml:space="preserve">Sanger sequencing of two variants in </w:t>
      </w:r>
      <w:r w:rsidRPr="00140F10">
        <w:rPr>
          <w:rFonts w:ascii="Times New Roman" w:hAnsi="Times New Roman" w:cs="Times New Roman"/>
          <w:i/>
          <w:iCs/>
          <w:sz w:val="24"/>
          <w:szCs w:val="24"/>
          <w:lang w:val="en-US"/>
        </w:rPr>
        <w:t>SLC12A2</w:t>
      </w:r>
      <w:r w:rsidRPr="00140F10">
        <w:rPr>
          <w:rFonts w:ascii="Times New Roman" w:hAnsi="Times New Roman" w:cs="Times New Roman"/>
          <w:sz w:val="24"/>
          <w:szCs w:val="24"/>
          <w:lang w:val="en-US"/>
        </w:rPr>
        <w:t xml:space="preserve"> was carried out following PCR amplification of genomic DNA, using the following M13-tagged primers: SLC12A2_8</w:t>
      </w:r>
      <w:proofErr w:type="gramStart"/>
      <w:r w:rsidRPr="00140F10">
        <w:rPr>
          <w:rFonts w:ascii="Times New Roman" w:hAnsi="Times New Roman" w:cs="Times New Roman"/>
          <w:sz w:val="24"/>
          <w:szCs w:val="24"/>
          <w:lang w:val="en-US"/>
        </w:rPr>
        <w:t>F:GGTAAACCATTGTCTCATAC</w:t>
      </w:r>
      <w:proofErr w:type="gramEnd"/>
      <w:r w:rsidRPr="00140F10">
        <w:rPr>
          <w:rFonts w:ascii="Times New Roman" w:hAnsi="Times New Roman" w:cs="Times New Roman"/>
          <w:sz w:val="24"/>
          <w:szCs w:val="24"/>
          <w:lang w:val="en-US"/>
        </w:rPr>
        <w:t xml:space="preserve">, SLC12A2_9R:GAGCAACTCCATGTCTTTTT, SLC12A2_13F:TATGAAAGCTGGATGGTGGT and SLC12A2_13R:CTGTAAAGACAGACTTGGCA. </w:t>
      </w:r>
    </w:p>
    <w:p w14:paraId="4A672DF2" w14:textId="77777777" w:rsidR="00A45749" w:rsidRPr="00140F10" w:rsidRDefault="00A45749" w:rsidP="006D55FF">
      <w:pPr>
        <w:pStyle w:val="BodyText"/>
        <w:spacing w:after="120" w:line="480" w:lineRule="auto"/>
        <w:ind w:left="3"/>
        <w:rPr>
          <w:rFonts w:ascii="Times New Roman" w:eastAsia="Times New Roman" w:hAnsi="Times New Roman" w:cs="Times New Roman"/>
          <w:sz w:val="24"/>
          <w:szCs w:val="24"/>
        </w:rPr>
      </w:pPr>
      <w:r w:rsidRPr="00140F10">
        <w:rPr>
          <w:rFonts w:ascii="Times New Roman" w:hAnsi="Times New Roman" w:cs="Times New Roman"/>
          <w:sz w:val="24"/>
          <w:szCs w:val="24"/>
          <w:lang w:val="en-US"/>
        </w:rPr>
        <w:t>RT-PCR was performed on isolated RNA, using the High Capacity cDNA Reverse Transcription Kit (Applied Biosystems, Thermo Fisher) and the following M13-tagged primers: SLC12A2_cDNA_12</w:t>
      </w:r>
      <w:proofErr w:type="gramStart"/>
      <w:r w:rsidRPr="00140F10">
        <w:rPr>
          <w:rFonts w:ascii="Times New Roman" w:hAnsi="Times New Roman" w:cs="Times New Roman"/>
          <w:sz w:val="24"/>
          <w:szCs w:val="24"/>
          <w:lang w:val="en-US"/>
        </w:rPr>
        <w:t>F:GCTTTCCAGATGTTTGCTAA</w:t>
      </w:r>
      <w:proofErr w:type="gramEnd"/>
      <w:r w:rsidRPr="00140F10">
        <w:rPr>
          <w:rFonts w:ascii="Times New Roman" w:hAnsi="Times New Roman" w:cs="Times New Roman"/>
          <w:sz w:val="24"/>
          <w:szCs w:val="24"/>
          <w:lang w:val="en-US"/>
        </w:rPr>
        <w:t xml:space="preserve"> and SLC12A2_cDNA_14R:GTGATATCCACATGTTGTAG. Subsequent sequencing of the PCR products was carried out with M13 primers, using the </w:t>
      </w:r>
      <w:proofErr w:type="spellStart"/>
      <w:r w:rsidRPr="00140F10">
        <w:rPr>
          <w:rFonts w:ascii="Times New Roman" w:hAnsi="Times New Roman" w:cs="Times New Roman"/>
          <w:sz w:val="24"/>
          <w:szCs w:val="24"/>
          <w:lang w:val="en-US"/>
        </w:rPr>
        <w:t>BigDye</w:t>
      </w:r>
      <w:proofErr w:type="spellEnd"/>
      <w:r w:rsidRPr="00140F10">
        <w:rPr>
          <w:rFonts w:ascii="Times New Roman" w:hAnsi="Times New Roman" w:cs="Times New Roman"/>
          <w:sz w:val="24"/>
          <w:szCs w:val="24"/>
          <w:lang w:val="en-US"/>
        </w:rPr>
        <w:t xml:space="preserve"> version 3.1 sequencing kit (Applied Biosystems) on a 3500xl Genetic Analyzer (Applied Biosystems) with alignment to the reference sequence NM_001046.</w:t>
      </w:r>
    </w:p>
    <w:p w14:paraId="0F50BE84" w14:textId="77777777" w:rsidR="00A45749" w:rsidRPr="00A45749" w:rsidRDefault="00A45749" w:rsidP="006D55FF">
      <w:pPr>
        <w:pStyle w:val="BodyText"/>
        <w:spacing w:after="120" w:line="480" w:lineRule="auto"/>
        <w:ind w:left="360"/>
        <w:rPr>
          <w:rFonts w:ascii="Times New Roman" w:hAnsi="Times New Roman" w:cs="Times New Roman"/>
          <w:sz w:val="24"/>
          <w:szCs w:val="24"/>
        </w:rPr>
      </w:pPr>
    </w:p>
    <w:p w14:paraId="6B562204" w14:textId="77777777" w:rsidR="00A45749" w:rsidRPr="00140F10" w:rsidRDefault="00A45749" w:rsidP="006D55FF">
      <w:pPr>
        <w:pStyle w:val="BodyText"/>
        <w:spacing w:after="120" w:line="480" w:lineRule="auto"/>
        <w:rPr>
          <w:rFonts w:ascii="Times New Roman" w:eastAsia="Times New Roman" w:hAnsi="Times New Roman" w:cs="Times New Roman"/>
          <w:b/>
          <w:bCs/>
          <w:sz w:val="28"/>
          <w:szCs w:val="28"/>
        </w:rPr>
      </w:pPr>
      <w:r w:rsidRPr="00140F10">
        <w:rPr>
          <w:rFonts w:ascii="Times New Roman" w:hAnsi="Times New Roman" w:cs="Times New Roman"/>
          <w:b/>
          <w:bCs/>
          <w:sz w:val="28"/>
          <w:szCs w:val="28"/>
          <w:lang w:val="en-US"/>
        </w:rPr>
        <w:lastRenderedPageBreak/>
        <w:t>Results</w:t>
      </w:r>
    </w:p>
    <w:p w14:paraId="6263D8E7" w14:textId="1247F557" w:rsidR="00A45749" w:rsidRPr="00140F10" w:rsidRDefault="00A45749" w:rsidP="006D55FF">
      <w:pPr>
        <w:pStyle w:val="BodyText"/>
        <w:spacing w:after="120" w:line="480" w:lineRule="auto"/>
        <w:rPr>
          <w:rFonts w:ascii="Times New Roman" w:eastAsia="Times New Roman" w:hAnsi="Times New Roman" w:cs="Times New Roman"/>
          <w:b/>
          <w:bCs/>
          <w:sz w:val="26"/>
          <w:szCs w:val="26"/>
        </w:rPr>
      </w:pPr>
      <w:r w:rsidRPr="00140F10">
        <w:rPr>
          <w:rFonts w:ascii="Times New Roman" w:hAnsi="Times New Roman" w:cs="Times New Roman"/>
          <w:b/>
          <w:bCs/>
          <w:sz w:val="26"/>
          <w:szCs w:val="26"/>
          <w:lang w:val="en-US"/>
        </w:rPr>
        <w:t xml:space="preserve">Clinical </w:t>
      </w:r>
      <w:r>
        <w:rPr>
          <w:rFonts w:ascii="Times New Roman" w:hAnsi="Times New Roman" w:cs="Times New Roman"/>
          <w:b/>
          <w:bCs/>
          <w:sz w:val="26"/>
          <w:szCs w:val="26"/>
          <w:lang w:val="en-US"/>
        </w:rPr>
        <w:t>histor</w:t>
      </w:r>
      <w:r w:rsidR="00032E61">
        <w:rPr>
          <w:rFonts w:ascii="Times New Roman" w:hAnsi="Times New Roman" w:cs="Times New Roman"/>
          <w:b/>
          <w:bCs/>
          <w:sz w:val="26"/>
          <w:szCs w:val="26"/>
          <w:lang w:val="en-US"/>
        </w:rPr>
        <w:t>y</w:t>
      </w:r>
      <w:r>
        <w:rPr>
          <w:rFonts w:ascii="Times New Roman" w:hAnsi="Times New Roman" w:cs="Times New Roman"/>
          <w:b/>
          <w:bCs/>
          <w:sz w:val="26"/>
          <w:szCs w:val="26"/>
          <w:lang w:val="en-US"/>
        </w:rPr>
        <w:t xml:space="preserve"> of the </w:t>
      </w:r>
      <w:r w:rsidR="00032E61">
        <w:rPr>
          <w:rFonts w:ascii="Times New Roman" w:hAnsi="Times New Roman" w:cs="Times New Roman"/>
          <w:b/>
          <w:bCs/>
          <w:sz w:val="26"/>
          <w:szCs w:val="26"/>
          <w:lang w:val="en-US"/>
        </w:rPr>
        <w:t>proband</w:t>
      </w:r>
      <w:r w:rsidR="006D55FF">
        <w:rPr>
          <w:rFonts w:ascii="Times New Roman" w:hAnsi="Times New Roman" w:cs="Times New Roman"/>
          <w:b/>
          <w:bCs/>
          <w:sz w:val="26"/>
          <w:szCs w:val="26"/>
          <w:lang w:val="en-US"/>
        </w:rPr>
        <w:t xml:space="preserve"> (index patient)</w:t>
      </w:r>
    </w:p>
    <w:p w14:paraId="2B851406" w14:textId="6D6C3A37" w:rsidR="00A45749" w:rsidRDefault="00A45749" w:rsidP="006D55FF">
      <w:pPr>
        <w:pStyle w:val="BodyText"/>
        <w:spacing w:after="120" w:line="480" w:lineRule="auto"/>
        <w:rPr>
          <w:rFonts w:ascii="Times New Roman" w:hAnsi="Times New Roman" w:cs="Times New Roman"/>
          <w:sz w:val="24"/>
          <w:szCs w:val="24"/>
          <w:lang w:val="en-US"/>
        </w:rPr>
      </w:pPr>
      <w:r w:rsidRPr="00140F10">
        <w:rPr>
          <w:rFonts w:ascii="Times New Roman" w:hAnsi="Times New Roman" w:cs="Times New Roman"/>
          <w:sz w:val="24"/>
          <w:szCs w:val="24"/>
          <w:lang w:val="en-US"/>
        </w:rPr>
        <w:t xml:space="preserve">The </w:t>
      </w:r>
      <w:r w:rsidR="006D55FF">
        <w:rPr>
          <w:rFonts w:ascii="Times New Roman" w:hAnsi="Times New Roman" w:cs="Times New Roman"/>
          <w:sz w:val="24"/>
          <w:szCs w:val="24"/>
          <w:lang w:val="en-US"/>
        </w:rPr>
        <w:t>proband</w:t>
      </w:r>
      <w:r w:rsidRPr="00140F10">
        <w:rPr>
          <w:rFonts w:ascii="Times New Roman" w:hAnsi="Times New Roman" w:cs="Times New Roman"/>
          <w:sz w:val="24"/>
          <w:szCs w:val="24"/>
          <w:lang w:val="en-US"/>
        </w:rPr>
        <w:t xml:space="preserve"> (II:</w:t>
      </w:r>
      <w:r>
        <w:rPr>
          <w:rFonts w:ascii="Times New Roman" w:hAnsi="Times New Roman" w:cs="Times New Roman"/>
          <w:sz w:val="24"/>
          <w:szCs w:val="24"/>
          <w:lang w:val="en-US"/>
        </w:rPr>
        <w:t>3</w:t>
      </w:r>
      <w:r w:rsidRPr="009723BE">
        <w:rPr>
          <w:rFonts w:ascii="Times New Roman" w:hAnsi="Times New Roman" w:cs="Times New Roman"/>
          <w:color w:val="auto"/>
          <w:sz w:val="24"/>
          <w:szCs w:val="24"/>
          <w:lang w:val="en-US"/>
        </w:rPr>
        <w:t>) (Fig</w:t>
      </w:r>
      <w:r w:rsidR="009723BE">
        <w:rPr>
          <w:rFonts w:ascii="Times New Roman" w:hAnsi="Times New Roman" w:cs="Times New Roman"/>
          <w:color w:val="auto"/>
          <w:sz w:val="24"/>
          <w:szCs w:val="24"/>
          <w:lang w:val="en-US"/>
        </w:rPr>
        <w:t>.</w:t>
      </w:r>
      <w:r w:rsidRPr="009723BE">
        <w:rPr>
          <w:rFonts w:ascii="Times New Roman" w:hAnsi="Times New Roman" w:cs="Times New Roman"/>
          <w:color w:val="auto"/>
          <w:sz w:val="24"/>
          <w:szCs w:val="24"/>
          <w:lang w:val="en-US"/>
        </w:rPr>
        <w:t xml:space="preserve"> 1) </w:t>
      </w:r>
      <w:r w:rsidRPr="00140F10">
        <w:rPr>
          <w:rFonts w:ascii="Times New Roman" w:hAnsi="Times New Roman" w:cs="Times New Roman"/>
          <w:sz w:val="24"/>
          <w:szCs w:val="24"/>
          <w:lang w:val="en-US"/>
        </w:rPr>
        <w:t>is an 8-year-old girl born full</w:t>
      </w:r>
      <w:r>
        <w:rPr>
          <w:rFonts w:ascii="Times New Roman" w:hAnsi="Times New Roman" w:cs="Times New Roman"/>
          <w:sz w:val="24"/>
          <w:szCs w:val="24"/>
          <w:lang w:val="en-US"/>
        </w:rPr>
        <w:t>-</w:t>
      </w:r>
      <w:r w:rsidRPr="00140F10">
        <w:rPr>
          <w:rFonts w:ascii="Times New Roman" w:hAnsi="Times New Roman" w:cs="Times New Roman"/>
          <w:sz w:val="24"/>
          <w:szCs w:val="24"/>
          <w:lang w:val="en-US"/>
        </w:rPr>
        <w:t>term</w:t>
      </w:r>
      <w:r>
        <w:rPr>
          <w:rFonts w:ascii="Times New Roman" w:hAnsi="Times New Roman" w:cs="Times New Roman"/>
          <w:sz w:val="24"/>
          <w:szCs w:val="24"/>
          <w:lang w:val="en-US"/>
        </w:rPr>
        <w:t xml:space="preserve"> with birthweight 3.2 kg</w:t>
      </w:r>
      <w:r w:rsidRPr="00140F10">
        <w:rPr>
          <w:rFonts w:ascii="Times New Roman" w:hAnsi="Times New Roman" w:cs="Times New Roman"/>
          <w:sz w:val="24"/>
          <w:szCs w:val="24"/>
          <w:lang w:val="en-US"/>
        </w:rPr>
        <w:t xml:space="preserve"> after a normal pregnancy. She is the third child of non-consanguineous parents of Swedish descent. In addition to the deceased older sister (II:2) she has a healthy older brother. Delivery was un</w:t>
      </w:r>
      <w:r>
        <w:rPr>
          <w:rFonts w:ascii="Times New Roman" w:hAnsi="Times New Roman" w:cs="Times New Roman"/>
          <w:sz w:val="24"/>
          <w:szCs w:val="24"/>
          <w:lang w:val="en-US"/>
        </w:rPr>
        <w:t>remarkable. S</w:t>
      </w:r>
      <w:r w:rsidRPr="00140F10">
        <w:rPr>
          <w:rFonts w:ascii="Times New Roman" w:hAnsi="Times New Roman" w:cs="Times New Roman"/>
          <w:sz w:val="24"/>
          <w:szCs w:val="24"/>
          <w:lang w:val="en-US"/>
        </w:rPr>
        <w:t xml:space="preserve">he was transferred to a neonatal unit due to hypotonia and </w:t>
      </w:r>
      <w:r>
        <w:rPr>
          <w:rFonts w:ascii="Times New Roman" w:hAnsi="Times New Roman" w:cs="Times New Roman"/>
          <w:sz w:val="24"/>
          <w:szCs w:val="24"/>
          <w:lang w:val="en-US"/>
        </w:rPr>
        <w:t>difficulties breastfeeding</w:t>
      </w:r>
      <w:r w:rsidRPr="00140F10">
        <w:rPr>
          <w:rFonts w:ascii="Times New Roman" w:hAnsi="Times New Roman" w:cs="Times New Roman"/>
          <w:sz w:val="24"/>
          <w:szCs w:val="24"/>
          <w:lang w:val="en-US"/>
        </w:rPr>
        <w:t>. At day 5</w:t>
      </w:r>
      <w:r>
        <w:rPr>
          <w:rFonts w:ascii="Times New Roman" w:hAnsi="Times New Roman" w:cs="Times New Roman"/>
          <w:sz w:val="24"/>
          <w:szCs w:val="24"/>
          <w:lang w:val="en-US"/>
        </w:rPr>
        <w:t>,</w:t>
      </w:r>
      <w:r w:rsidRPr="00140F10">
        <w:rPr>
          <w:rFonts w:ascii="Times New Roman" w:hAnsi="Times New Roman" w:cs="Times New Roman"/>
          <w:sz w:val="24"/>
          <w:szCs w:val="24"/>
          <w:lang w:val="en-US"/>
        </w:rPr>
        <w:t xml:space="preserve"> she had fever and a swollen left parotid gland. Broad-spectrum antibiotic treatment was started on the suspicion of septic parotitis. A blood culture confirmed </w:t>
      </w:r>
      <w:r w:rsidRPr="009723BE">
        <w:rPr>
          <w:rFonts w:ascii="Times New Roman" w:hAnsi="Times New Roman" w:cs="Times New Roman"/>
          <w:i/>
          <w:sz w:val="24"/>
          <w:szCs w:val="24"/>
          <w:lang w:val="en-US"/>
        </w:rPr>
        <w:t>Staphylococcus aureus</w:t>
      </w:r>
      <w:r w:rsidRPr="00140F10">
        <w:rPr>
          <w:rFonts w:ascii="Times New Roman" w:hAnsi="Times New Roman" w:cs="Times New Roman"/>
          <w:sz w:val="24"/>
          <w:szCs w:val="24"/>
          <w:lang w:val="en-US"/>
        </w:rPr>
        <w:t xml:space="preserve"> septicemia. The infection seemed well controlled. </w:t>
      </w:r>
      <w:r>
        <w:rPr>
          <w:rFonts w:ascii="Times New Roman" w:hAnsi="Times New Roman" w:cs="Times New Roman"/>
          <w:sz w:val="24"/>
          <w:szCs w:val="24"/>
          <w:lang w:val="en-US"/>
        </w:rPr>
        <w:t>B</w:t>
      </w:r>
      <w:r w:rsidRPr="00140F10">
        <w:rPr>
          <w:rFonts w:ascii="Times New Roman" w:hAnsi="Times New Roman" w:cs="Times New Roman"/>
          <w:sz w:val="24"/>
          <w:szCs w:val="24"/>
          <w:lang w:val="en-US"/>
        </w:rPr>
        <w:t>ecause of recurrent apneas</w:t>
      </w:r>
      <w:r>
        <w:rPr>
          <w:rFonts w:ascii="Times New Roman" w:hAnsi="Times New Roman" w:cs="Times New Roman"/>
          <w:sz w:val="24"/>
          <w:szCs w:val="24"/>
          <w:lang w:val="en-US"/>
        </w:rPr>
        <w:t>,</w:t>
      </w:r>
      <w:r w:rsidRPr="00140F10">
        <w:rPr>
          <w:rFonts w:ascii="Times New Roman" w:hAnsi="Times New Roman" w:cs="Times New Roman"/>
          <w:sz w:val="24"/>
          <w:szCs w:val="24"/>
          <w:lang w:val="en-US"/>
        </w:rPr>
        <w:t xml:space="preserve"> continuous positive airway pressure (CPAP) and oxygen treatment was started at the local hospital and the patient was transferred to our hospital</w:t>
      </w:r>
      <w:r>
        <w:rPr>
          <w:rFonts w:ascii="Times New Roman" w:hAnsi="Times New Roman" w:cs="Times New Roman"/>
          <w:sz w:val="24"/>
          <w:szCs w:val="24"/>
          <w:lang w:val="en-US"/>
        </w:rPr>
        <w:t>’</w:t>
      </w:r>
      <w:r w:rsidRPr="00140F10">
        <w:rPr>
          <w:rFonts w:ascii="Times New Roman" w:hAnsi="Times New Roman" w:cs="Times New Roman"/>
          <w:sz w:val="24"/>
          <w:szCs w:val="24"/>
          <w:lang w:val="en-US"/>
        </w:rPr>
        <w:t xml:space="preserve">s </w:t>
      </w:r>
      <w:proofErr w:type="spellStart"/>
      <w:r w:rsidRPr="00140F10">
        <w:rPr>
          <w:rFonts w:ascii="Times New Roman" w:hAnsi="Times New Roman" w:cs="Times New Roman"/>
          <w:sz w:val="24"/>
          <w:szCs w:val="24"/>
          <w:lang w:val="en-US"/>
        </w:rPr>
        <w:t>paediatric</w:t>
      </w:r>
      <w:proofErr w:type="spellEnd"/>
      <w:r w:rsidRPr="00140F10">
        <w:rPr>
          <w:rFonts w:ascii="Times New Roman" w:hAnsi="Times New Roman" w:cs="Times New Roman"/>
          <w:sz w:val="24"/>
          <w:szCs w:val="24"/>
          <w:lang w:val="en-US"/>
        </w:rPr>
        <w:t xml:space="preserve"> intensive care unit</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PICU</w:t>
      </w:r>
      <w:r>
        <w:rPr>
          <w:rFonts w:ascii="Times New Roman" w:hAnsi="Times New Roman" w:cs="Times New Roman"/>
          <w:sz w:val="24"/>
          <w:szCs w:val="24"/>
          <w:lang w:val="en-US"/>
        </w:rPr>
        <w:t>)</w:t>
      </w:r>
      <w:r w:rsidRPr="00140F10">
        <w:rPr>
          <w:rFonts w:ascii="Times New Roman" w:hAnsi="Times New Roman" w:cs="Times New Roman"/>
          <w:sz w:val="24"/>
          <w:szCs w:val="24"/>
          <w:lang w:val="en-US"/>
        </w:rPr>
        <w:t xml:space="preserve"> on day 9. She was afebrile, infection parameters </w:t>
      </w:r>
      <w:r>
        <w:rPr>
          <w:rFonts w:ascii="Times New Roman" w:hAnsi="Times New Roman" w:cs="Times New Roman"/>
          <w:sz w:val="24"/>
          <w:szCs w:val="24"/>
          <w:lang w:val="en-US"/>
        </w:rPr>
        <w:t>had</w:t>
      </w:r>
      <w:r w:rsidRPr="00140F10">
        <w:rPr>
          <w:rFonts w:ascii="Times New Roman" w:hAnsi="Times New Roman" w:cs="Times New Roman"/>
          <w:sz w:val="24"/>
          <w:szCs w:val="24"/>
          <w:lang w:val="en-US"/>
        </w:rPr>
        <w:t xml:space="preserve"> </w:t>
      </w:r>
      <w:proofErr w:type="spellStart"/>
      <w:r w:rsidRPr="00140F10">
        <w:rPr>
          <w:rFonts w:ascii="Times New Roman" w:hAnsi="Times New Roman" w:cs="Times New Roman"/>
          <w:sz w:val="24"/>
          <w:szCs w:val="24"/>
          <w:lang w:val="en-US"/>
        </w:rPr>
        <w:t>normalised</w:t>
      </w:r>
      <w:proofErr w:type="spellEnd"/>
      <w:r w:rsidRPr="00140F10">
        <w:rPr>
          <w:rFonts w:ascii="Times New Roman" w:hAnsi="Times New Roman" w:cs="Times New Roman"/>
          <w:sz w:val="24"/>
          <w:szCs w:val="24"/>
          <w:lang w:val="en-US"/>
        </w:rPr>
        <w:t xml:space="preserve"> and circulation was stable. </w:t>
      </w:r>
      <w:r>
        <w:rPr>
          <w:rFonts w:ascii="Times New Roman" w:hAnsi="Times New Roman" w:cs="Times New Roman"/>
          <w:sz w:val="24"/>
          <w:szCs w:val="24"/>
          <w:lang w:val="en-US"/>
        </w:rPr>
        <w:t>H</w:t>
      </w:r>
      <w:r w:rsidRPr="00140F10">
        <w:rPr>
          <w:rFonts w:ascii="Times New Roman" w:hAnsi="Times New Roman" w:cs="Times New Roman"/>
          <w:sz w:val="24"/>
          <w:szCs w:val="24"/>
          <w:lang w:val="en-US"/>
        </w:rPr>
        <w:t>ypotoni</w:t>
      </w:r>
      <w:r>
        <w:rPr>
          <w:rFonts w:ascii="Times New Roman" w:hAnsi="Times New Roman" w:cs="Times New Roman"/>
          <w:sz w:val="24"/>
          <w:szCs w:val="24"/>
          <w:lang w:val="en-US"/>
        </w:rPr>
        <w:t>a persisted</w:t>
      </w:r>
      <w:r w:rsidRPr="00140F1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she </w:t>
      </w:r>
      <w:r w:rsidRPr="00140F10">
        <w:rPr>
          <w:rFonts w:ascii="Times New Roman" w:hAnsi="Times New Roman" w:cs="Times New Roman"/>
          <w:sz w:val="24"/>
          <w:szCs w:val="24"/>
          <w:lang w:val="en-US"/>
        </w:rPr>
        <w:t xml:space="preserve">was fed through nasogastric tube. </w:t>
      </w:r>
    </w:p>
    <w:p w14:paraId="2B5DF88E" w14:textId="77777777" w:rsidR="00A45749" w:rsidRPr="00140F10" w:rsidRDefault="00A45749" w:rsidP="006D55FF">
      <w:pPr>
        <w:pStyle w:val="BodyText"/>
        <w:spacing w:after="120" w:line="480" w:lineRule="auto"/>
        <w:rPr>
          <w:rFonts w:ascii="Times New Roman" w:eastAsia="Times New Roman" w:hAnsi="Times New Roman" w:cs="Times New Roman"/>
          <w:sz w:val="24"/>
          <w:szCs w:val="24"/>
        </w:rPr>
      </w:pPr>
      <w:r w:rsidRPr="00140F10">
        <w:rPr>
          <w:rFonts w:ascii="Times New Roman" w:hAnsi="Times New Roman" w:cs="Times New Roman"/>
          <w:sz w:val="24"/>
          <w:szCs w:val="24"/>
          <w:lang w:val="en-US"/>
        </w:rPr>
        <w:t>Due to the history of the older deceased s</w:t>
      </w:r>
      <w:r>
        <w:rPr>
          <w:rFonts w:ascii="Times New Roman" w:hAnsi="Times New Roman" w:cs="Times New Roman"/>
          <w:sz w:val="24"/>
          <w:szCs w:val="24"/>
          <w:lang w:val="en-US"/>
        </w:rPr>
        <w:t>ister</w:t>
      </w:r>
      <w:r w:rsidRPr="00140F10">
        <w:rPr>
          <w:rFonts w:ascii="Times New Roman" w:hAnsi="Times New Roman" w:cs="Times New Roman"/>
          <w:sz w:val="24"/>
          <w:szCs w:val="24"/>
          <w:lang w:val="en-US"/>
        </w:rPr>
        <w:t xml:space="preserve"> with similar sym</w:t>
      </w:r>
      <w:r>
        <w:rPr>
          <w:rFonts w:ascii="Times New Roman" w:hAnsi="Times New Roman" w:cs="Times New Roman"/>
          <w:sz w:val="24"/>
          <w:szCs w:val="24"/>
          <w:lang w:val="en-US"/>
        </w:rPr>
        <w:t>p</w:t>
      </w:r>
      <w:r w:rsidRPr="00140F10">
        <w:rPr>
          <w:rFonts w:ascii="Times New Roman" w:hAnsi="Times New Roman" w:cs="Times New Roman"/>
          <w:sz w:val="24"/>
          <w:szCs w:val="24"/>
          <w:lang w:val="en-US"/>
        </w:rPr>
        <w:t xml:space="preserve">toms, an extensive work-up for immunodeficiency and metabolic disease was started. Results came back negative. </w:t>
      </w:r>
      <w:r>
        <w:rPr>
          <w:rFonts w:ascii="Times New Roman" w:hAnsi="Times New Roman" w:cs="Times New Roman"/>
          <w:sz w:val="24"/>
          <w:szCs w:val="24"/>
          <w:lang w:val="en-US"/>
        </w:rPr>
        <w:t>R</w:t>
      </w:r>
      <w:r w:rsidRPr="00140F10">
        <w:rPr>
          <w:rFonts w:ascii="Times New Roman" w:hAnsi="Times New Roman" w:cs="Times New Roman"/>
          <w:sz w:val="24"/>
          <w:szCs w:val="24"/>
          <w:lang w:val="en-US"/>
        </w:rPr>
        <w:t>espiration improved</w:t>
      </w:r>
      <w:r>
        <w:rPr>
          <w:rFonts w:ascii="Times New Roman" w:hAnsi="Times New Roman" w:cs="Times New Roman"/>
          <w:sz w:val="24"/>
          <w:szCs w:val="24"/>
          <w:lang w:val="en-US"/>
        </w:rPr>
        <w:t>.</w:t>
      </w:r>
      <w:r w:rsidRPr="00140F10">
        <w:rPr>
          <w:rFonts w:ascii="Times New Roman" w:hAnsi="Times New Roman" w:cs="Times New Roman"/>
          <w:sz w:val="24"/>
          <w:szCs w:val="24"/>
          <w:lang w:val="en-US"/>
        </w:rPr>
        <w:t xml:space="preserve"> CPAP treatment was </w:t>
      </w:r>
      <w:r>
        <w:rPr>
          <w:rFonts w:ascii="Times New Roman" w:hAnsi="Times New Roman" w:cs="Times New Roman"/>
          <w:sz w:val="24"/>
          <w:szCs w:val="24"/>
          <w:lang w:val="en-US"/>
        </w:rPr>
        <w:t>stopped</w:t>
      </w:r>
      <w:r w:rsidRPr="00140F10">
        <w:rPr>
          <w:rFonts w:ascii="Times New Roman" w:hAnsi="Times New Roman" w:cs="Times New Roman"/>
          <w:sz w:val="24"/>
          <w:szCs w:val="24"/>
          <w:lang w:val="en-US"/>
        </w:rPr>
        <w:t xml:space="preserve"> </w:t>
      </w:r>
      <w:r>
        <w:rPr>
          <w:rFonts w:ascii="Times New Roman" w:hAnsi="Times New Roman" w:cs="Times New Roman"/>
          <w:sz w:val="24"/>
          <w:szCs w:val="24"/>
          <w:lang w:val="en-US"/>
        </w:rPr>
        <w:t>but had to be restarted due to</w:t>
      </w:r>
      <w:r w:rsidRPr="00140F10">
        <w:rPr>
          <w:rFonts w:ascii="Times New Roman" w:hAnsi="Times New Roman" w:cs="Times New Roman"/>
          <w:sz w:val="24"/>
          <w:szCs w:val="24"/>
          <w:lang w:val="en-US"/>
        </w:rPr>
        <w:t xml:space="preserve"> respiratory insufficiency with carbon dioxide retention (pCO2 9,2 </w:t>
      </w:r>
      <w:r w:rsidRPr="00EC4DA9">
        <w:rPr>
          <w:rFonts w:ascii="Times New Roman" w:hAnsi="Times New Roman" w:cs="Times New Roman"/>
          <w:color w:val="auto"/>
          <w:sz w:val="24"/>
          <w:szCs w:val="24"/>
          <w:lang w:val="en-US"/>
        </w:rPr>
        <w:t>kPa</w:t>
      </w:r>
      <w:r w:rsidRPr="00140F1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short but </w:t>
      </w:r>
      <w:r w:rsidRPr="00140F10">
        <w:rPr>
          <w:rFonts w:ascii="Times New Roman" w:hAnsi="Times New Roman" w:cs="Times New Roman"/>
          <w:sz w:val="24"/>
          <w:szCs w:val="24"/>
          <w:lang w:val="en-US"/>
        </w:rPr>
        <w:t>repeated apneas. Antibiotic treatment was again started but infection could not be confirmed. With CPAP</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 xml:space="preserve">pCO2 </w:t>
      </w:r>
      <w:proofErr w:type="spellStart"/>
      <w:r w:rsidRPr="00140F10">
        <w:rPr>
          <w:rFonts w:ascii="Times New Roman" w:hAnsi="Times New Roman" w:cs="Times New Roman"/>
          <w:sz w:val="24"/>
          <w:szCs w:val="24"/>
          <w:lang w:val="en-US"/>
        </w:rPr>
        <w:t>normalised</w:t>
      </w:r>
      <w:proofErr w:type="spellEnd"/>
      <w:r>
        <w:rPr>
          <w:rFonts w:ascii="Times New Roman" w:hAnsi="Times New Roman" w:cs="Times New Roman"/>
          <w:sz w:val="24"/>
          <w:szCs w:val="24"/>
          <w:lang w:val="en-US"/>
        </w:rPr>
        <w:t>,</w:t>
      </w:r>
      <w:r w:rsidRPr="00140F10">
        <w:rPr>
          <w:rFonts w:ascii="Times New Roman" w:hAnsi="Times New Roman" w:cs="Times New Roman"/>
          <w:sz w:val="24"/>
          <w:szCs w:val="24"/>
          <w:lang w:val="en-US"/>
        </w:rPr>
        <w:t xml:space="preserve"> but central apneas </w:t>
      </w:r>
      <w:r>
        <w:rPr>
          <w:rFonts w:ascii="Times New Roman" w:hAnsi="Times New Roman" w:cs="Times New Roman"/>
          <w:sz w:val="24"/>
          <w:szCs w:val="24"/>
          <w:lang w:val="en-US"/>
        </w:rPr>
        <w:t>continued</w:t>
      </w:r>
      <w:r w:rsidRPr="00140F10">
        <w:rPr>
          <w:rFonts w:ascii="Times New Roman" w:hAnsi="Times New Roman" w:cs="Times New Roman"/>
          <w:sz w:val="24"/>
          <w:szCs w:val="24"/>
          <w:lang w:val="en-US"/>
        </w:rPr>
        <w:t xml:space="preserve">. It was noted that the Moro reflex, previously normal, could not be elicited. Caffeine citrate was started, apneas gradually subsided and the patient </w:t>
      </w:r>
      <w:r>
        <w:rPr>
          <w:rFonts w:ascii="Times New Roman" w:hAnsi="Times New Roman" w:cs="Times New Roman"/>
          <w:sz w:val="24"/>
          <w:szCs w:val="24"/>
          <w:lang w:val="en-US"/>
        </w:rPr>
        <w:t>was</w:t>
      </w:r>
      <w:r w:rsidRPr="00140F10">
        <w:rPr>
          <w:rFonts w:ascii="Times New Roman" w:hAnsi="Times New Roman" w:cs="Times New Roman"/>
          <w:sz w:val="24"/>
          <w:szCs w:val="24"/>
          <w:lang w:val="en-US"/>
        </w:rPr>
        <w:t xml:space="preserve"> weaned off CPAP treatment.</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Th</w:t>
      </w:r>
      <w:r>
        <w:rPr>
          <w:rFonts w:ascii="Times New Roman" w:hAnsi="Times New Roman" w:cs="Times New Roman"/>
          <w:sz w:val="24"/>
          <w:szCs w:val="24"/>
          <w:lang w:val="en-US"/>
        </w:rPr>
        <w:t>ick</w:t>
      </w:r>
      <w:r w:rsidRPr="00140F10">
        <w:rPr>
          <w:rFonts w:ascii="Times New Roman" w:hAnsi="Times New Roman" w:cs="Times New Roman"/>
          <w:sz w:val="24"/>
          <w:szCs w:val="24"/>
          <w:lang w:val="en-US"/>
        </w:rPr>
        <w:t xml:space="preserve"> airway mucus was treated with sodium chloride inhalations. </w:t>
      </w:r>
      <w:r>
        <w:rPr>
          <w:rFonts w:ascii="Times New Roman" w:hAnsi="Times New Roman" w:cs="Times New Roman"/>
          <w:sz w:val="24"/>
          <w:szCs w:val="24"/>
          <w:lang w:val="en-US"/>
        </w:rPr>
        <w:t>A genetic test for c</w:t>
      </w:r>
      <w:r w:rsidRPr="00140F10">
        <w:rPr>
          <w:rFonts w:ascii="Times New Roman" w:hAnsi="Times New Roman" w:cs="Times New Roman"/>
          <w:sz w:val="24"/>
          <w:szCs w:val="24"/>
          <w:lang w:val="en-US"/>
        </w:rPr>
        <w:t xml:space="preserve">ystic fibrosis was negative.  </w:t>
      </w:r>
    </w:p>
    <w:p w14:paraId="4F153946" w14:textId="6D1E6223" w:rsidR="00A45749" w:rsidRPr="00140F10" w:rsidRDefault="00032E61" w:rsidP="006D55FF">
      <w:pPr>
        <w:pStyle w:val="BodyText"/>
        <w:spacing w:after="120" w:line="480" w:lineRule="auto"/>
        <w:rPr>
          <w:rFonts w:ascii="Times New Roman" w:eastAsia="Times New Roman" w:hAnsi="Times New Roman" w:cs="Times New Roman"/>
          <w:sz w:val="24"/>
          <w:szCs w:val="24"/>
        </w:rPr>
      </w:pPr>
      <w:r w:rsidRPr="00032E61">
        <w:rPr>
          <w:rFonts w:ascii="Times New Roman" w:hAnsi="Times New Roman" w:cs="Times New Roman"/>
          <w:sz w:val="24"/>
          <w:szCs w:val="24"/>
          <w:lang w:val="en-US"/>
        </w:rPr>
        <w:t xml:space="preserve">A neurological work-up was prompted by the muscle hypotonia, central apneas and the lack of Moro reflex. Magnetic resonance imaging (MRI) </w:t>
      </w:r>
      <w:r w:rsidRPr="00032E61">
        <w:rPr>
          <w:rFonts w:ascii="Times New Roman" w:hAnsi="Times New Roman" w:cs="Times New Roman"/>
          <w:color w:val="auto"/>
          <w:sz w:val="24"/>
          <w:szCs w:val="24"/>
          <w:u w:color="FF0000"/>
          <w:lang w:val="en-US"/>
        </w:rPr>
        <w:t>(figure 2A-E and 3A-E)</w:t>
      </w:r>
      <w:r w:rsidRPr="00032E61">
        <w:rPr>
          <w:rFonts w:ascii="Times New Roman" w:hAnsi="Times New Roman" w:cs="Times New Roman"/>
          <w:color w:val="FF0000"/>
          <w:sz w:val="24"/>
          <w:szCs w:val="24"/>
          <w:u w:color="FF0000"/>
          <w:lang w:val="en-US"/>
        </w:rPr>
        <w:t xml:space="preserve"> </w:t>
      </w:r>
      <w:r w:rsidRPr="00032E61">
        <w:rPr>
          <w:rFonts w:ascii="Times New Roman" w:hAnsi="Times New Roman" w:cs="Times New Roman"/>
          <w:sz w:val="24"/>
          <w:szCs w:val="24"/>
          <w:lang w:val="en-US"/>
        </w:rPr>
        <w:t xml:space="preserve">and magnetic </w:t>
      </w:r>
      <w:r w:rsidRPr="00032E61">
        <w:rPr>
          <w:rFonts w:ascii="Times New Roman" w:hAnsi="Times New Roman" w:cs="Times New Roman"/>
          <w:sz w:val="24"/>
          <w:szCs w:val="24"/>
          <w:lang w:val="en-US"/>
        </w:rPr>
        <w:lastRenderedPageBreak/>
        <w:t>resonance</w:t>
      </w:r>
      <w:r w:rsidRPr="00C21B43">
        <w:rPr>
          <w:rFonts w:ascii="Times New Roman" w:hAnsi="Times New Roman" w:cs="Times New Roman"/>
          <w:sz w:val="24"/>
          <w:szCs w:val="24"/>
          <w:lang w:val="en-US"/>
        </w:rPr>
        <w:t xml:space="preserve"> spectroscopy (MRS)</w:t>
      </w:r>
      <w:r>
        <w:rPr>
          <w:rFonts w:ascii="Times New Roman" w:hAnsi="Times New Roman" w:cs="Times New Roman"/>
          <w:sz w:val="24"/>
          <w:szCs w:val="24"/>
          <w:lang w:val="en-US"/>
        </w:rPr>
        <w:t xml:space="preserve"> </w:t>
      </w:r>
      <w:r w:rsidRPr="00E30030">
        <w:rPr>
          <w:rFonts w:ascii="Times New Roman" w:hAnsi="Times New Roman" w:cs="Times New Roman"/>
          <w:color w:val="auto"/>
          <w:sz w:val="24"/>
          <w:szCs w:val="24"/>
          <w:lang w:val="en-US"/>
        </w:rPr>
        <w:t>(</w:t>
      </w:r>
      <w:bookmarkStart w:id="0" w:name="_Hlk40563689"/>
      <w:r>
        <w:rPr>
          <w:rFonts w:ascii="Times New Roman" w:hAnsi="Times New Roman" w:cs="Times New Roman"/>
          <w:color w:val="auto"/>
          <w:sz w:val="24"/>
          <w:szCs w:val="24"/>
          <w:lang w:val="en-US"/>
        </w:rPr>
        <w:t>Supplementary material; figure e-1</w:t>
      </w:r>
      <w:r w:rsidRPr="00E30030">
        <w:rPr>
          <w:rFonts w:ascii="Times New Roman" w:hAnsi="Times New Roman" w:cs="Times New Roman"/>
          <w:color w:val="auto"/>
          <w:sz w:val="24"/>
          <w:szCs w:val="24"/>
          <w:lang w:val="en-US"/>
        </w:rPr>
        <w:t>A-B</w:t>
      </w:r>
      <w:bookmarkEnd w:id="0"/>
      <w:r w:rsidRPr="00E30030">
        <w:rPr>
          <w:rFonts w:ascii="Times New Roman" w:hAnsi="Times New Roman" w:cs="Times New Roman"/>
          <w:color w:val="auto"/>
          <w:sz w:val="24"/>
          <w:szCs w:val="24"/>
          <w:lang w:val="en-US"/>
        </w:rPr>
        <w:t>)</w:t>
      </w:r>
      <w:r>
        <w:rPr>
          <w:rFonts w:ascii="Times New Roman" w:hAnsi="Times New Roman" w:cs="Times New Roman"/>
          <w:sz w:val="24"/>
          <w:szCs w:val="24"/>
          <w:lang w:val="en-US"/>
        </w:rPr>
        <w:t xml:space="preserve"> </w:t>
      </w:r>
      <w:r w:rsidRPr="009C4F2C">
        <w:rPr>
          <w:rFonts w:ascii="Times New Roman" w:hAnsi="Times New Roman" w:cs="Times New Roman"/>
          <w:sz w:val="24"/>
          <w:szCs w:val="24"/>
          <w:lang w:val="en-US"/>
        </w:rPr>
        <w:t xml:space="preserve">of the brain revealed </w:t>
      </w:r>
      <w:r>
        <w:rPr>
          <w:rFonts w:ascii="Times New Roman" w:hAnsi="Times New Roman" w:cs="Times New Roman"/>
          <w:sz w:val="24"/>
          <w:szCs w:val="24"/>
          <w:lang w:val="en-US"/>
        </w:rPr>
        <w:t>white matter and basal ganglia abnormalities</w:t>
      </w:r>
      <w:r w:rsidRPr="00C21B43">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 xml:space="preserve">Lumbar puncture </w:t>
      </w:r>
      <w:r>
        <w:rPr>
          <w:rFonts w:ascii="Times New Roman" w:hAnsi="Times New Roman" w:cs="Times New Roman"/>
          <w:sz w:val="24"/>
          <w:szCs w:val="24"/>
          <w:lang w:val="en-US"/>
        </w:rPr>
        <w:t>showed</w:t>
      </w:r>
      <w:r w:rsidRPr="00140F10">
        <w:rPr>
          <w:rFonts w:ascii="Times New Roman" w:hAnsi="Times New Roman" w:cs="Times New Roman"/>
          <w:sz w:val="24"/>
          <w:szCs w:val="24"/>
          <w:lang w:val="en-US"/>
        </w:rPr>
        <w:t xml:space="preserve"> elevated albumin and increased damage biomarkers in cerebrospinal fluid (CSF) </w:t>
      </w:r>
      <w:r w:rsidRPr="00E30030">
        <w:rPr>
          <w:rFonts w:ascii="Times New Roman" w:hAnsi="Times New Roman" w:cs="Times New Roman"/>
          <w:color w:val="auto"/>
          <w:sz w:val="24"/>
          <w:szCs w:val="24"/>
          <w:u w:color="FF0000"/>
          <w:lang w:val="en-US"/>
        </w:rPr>
        <w:t>(</w:t>
      </w:r>
      <w:r>
        <w:rPr>
          <w:rFonts w:ascii="Times New Roman" w:hAnsi="Times New Roman" w:cs="Times New Roman"/>
          <w:color w:val="auto"/>
          <w:sz w:val="24"/>
          <w:szCs w:val="24"/>
          <w:u w:color="FF0000"/>
          <w:lang w:val="en-US"/>
        </w:rPr>
        <w:t>Supplementary material; t</w:t>
      </w:r>
      <w:r w:rsidRPr="00E30030">
        <w:rPr>
          <w:rFonts w:ascii="Times New Roman" w:hAnsi="Times New Roman" w:cs="Times New Roman"/>
          <w:color w:val="auto"/>
          <w:sz w:val="24"/>
          <w:szCs w:val="24"/>
          <w:u w:color="FF0000"/>
          <w:lang w:val="en-US"/>
        </w:rPr>
        <w:t>able</w:t>
      </w:r>
      <w:r>
        <w:rPr>
          <w:rFonts w:ascii="Times New Roman" w:hAnsi="Times New Roman" w:cs="Times New Roman"/>
          <w:color w:val="auto"/>
          <w:sz w:val="24"/>
          <w:szCs w:val="24"/>
          <w:u w:color="FF0000"/>
          <w:lang w:val="en-US"/>
        </w:rPr>
        <w:t xml:space="preserve"> e-</w:t>
      </w:r>
      <w:r w:rsidRPr="00E30030">
        <w:rPr>
          <w:rFonts w:ascii="Times New Roman" w:hAnsi="Times New Roman" w:cs="Times New Roman"/>
          <w:color w:val="auto"/>
          <w:sz w:val="24"/>
          <w:szCs w:val="24"/>
          <w:u w:color="FF0000"/>
          <w:lang w:val="en-US"/>
        </w:rPr>
        <w:t>1)</w:t>
      </w:r>
      <w:r w:rsidRPr="00140F10">
        <w:rPr>
          <w:rFonts w:ascii="Times New Roman" w:hAnsi="Times New Roman" w:cs="Times New Roman"/>
          <w:sz w:val="24"/>
          <w:szCs w:val="24"/>
          <w:lang w:val="en-US"/>
        </w:rPr>
        <w:t xml:space="preserve">. </w:t>
      </w:r>
      <w:r w:rsidR="00A45749" w:rsidRPr="00140F10">
        <w:rPr>
          <w:rFonts w:ascii="Times New Roman" w:hAnsi="Times New Roman" w:cs="Times New Roman"/>
          <w:sz w:val="24"/>
          <w:szCs w:val="24"/>
          <w:lang w:val="en-US"/>
        </w:rPr>
        <w:t xml:space="preserve">Muscle biopsy for mitochondrial disease diagnostics (histology, ATP production, respiratory chain enzyme activity and </w:t>
      </w:r>
      <w:proofErr w:type="spellStart"/>
      <w:r w:rsidR="00A45749" w:rsidRPr="00140F10">
        <w:rPr>
          <w:rFonts w:ascii="Times New Roman" w:hAnsi="Times New Roman" w:cs="Times New Roman"/>
          <w:sz w:val="24"/>
          <w:szCs w:val="24"/>
          <w:lang w:val="en-US"/>
        </w:rPr>
        <w:t>mtDNA</w:t>
      </w:r>
      <w:proofErr w:type="spellEnd"/>
      <w:r w:rsidR="00A45749" w:rsidRPr="00140F10">
        <w:rPr>
          <w:rFonts w:ascii="Times New Roman" w:hAnsi="Times New Roman" w:cs="Times New Roman"/>
          <w:sz w:val="24"/>
          <w:szCs w:val="24"/>
          <w:lang w:val="en-US"/>
        </w:rPr>
        <w:t xml:space="preserve"> sequencing), </w:t>
      </w:r>
      <w:r w:rsidR="00A45749" w:rsidRPr="00696F1B">
        <w:rPr>
          <w:rFonts w:ascii="Times New Roman" w:hAnsi="Times New Roman" w:cs="Times New Roman"/>
          <w:i/>
          <w:sz w:val="24"/>
          <w:szCs w:val="24"/>
          <w:lang w:val="en-US"/>
        </w:rPr>
        <w:t>POLG</w:t>
      </w:r>
      <w:r w:rsidR="00A45749" w:rsidRPr="00140F10">
        <w:rPr>
          <w:rFonts w:ascii="Times New Roman" w:hAnsi="Times New Roman" w:cs="Times New Roman"/>
          <w:sz w:val="24"/>
          <w:szCs w:val="24"/>
          <w:lang w:val="en-US"/>
        </w:rPr>
        <w:t xml:space="preserve"> gene sequencing and array-CGH were normal. At age 7 weeks the patient was transferred to her local hospital in a stable condition. She was hypotonic with delayed motor development, made eye contact but did not smile. </w:t>
      </w:r>
    </w:p>
    <w:p w14:paraId="0C6285D6" w14:textId="4C06D21C" w:rsidR="00A45749" w:rsidRPr="006D55FF" w:rsidRDefault="00A45749" w:rsidP="006D55FF">
      <w:pPr>
        <w:pStyle w:val="BodyText"/>
        <w:spacing w:after="120" w:line="480" w:lineRule="auto"/>
        <w:rPr>
          <w:rFonts w:ascii="Times New Roman" w:eastAsia="Times New Roman" w:hAnsi="Times New Roman" w:cs="Times New Roman"/>
          <w:sz w:val="24"/>
          <w:szCs w:val="24"/>
        </w:rPr>
      </w:pPr>
      <w:r w:rsidRPr="00DC171F">
        <w:rPr>
          <w:rFonts w:ascii="Times New Roman" w:hAnsi="Times New Roman" w:cs="Times New Roman"/>
          <w:sz w:val="24"/>
          <w:szCs w:val="24"/>
          <w:lang w:val="en-US"/>
        </w:rPr>
        <w:t xml:space="preserve">The continued course has been without severe infections or other dramatic events. </w:t>
      </w:r>
      <w:r w:rsidR="00290F53">
        <w:rPr>
          <w:rFonts w:ascii="Times New Roman" w:hAnsi="Times New Roman" w:cs="Times New Roman"/>
          <w:color w:val="auto"/>
          <w:sz w:val="24"/>
          <w:szCs w:val="24"/>
          <w:lang w:val="en-US"/>
        </w:rPr>
        <w:t>The patient shows</w:t>
      </w:r>
      <w:r w:rsidRPr="00140F10">
        <w:rPr>
          <w:rFonts w:ascii="Times New Roman" w:hAnsi="Times New Roman" w:cs="Times New Roman"/>
          <w:color w:val="auto"/>
          <w:sz w:val="24"/>
          <w:szCs w:val="24"/>
          <w:lang w:val="en-US"/>
        </w:rPr>
        <w:t xml:space="preserve"> dysmorphic facial features</w:t>
      </w:r>
      <w:r w:rsidR="00290F53">
        <w:rPr>
          <w:rFonts w:ascii="Times New Roman" w:hAnsi="Times New Roman" w:cs="Times New Roman"/>
          <w:color w:val="auto"/>
          <w:sz w:val="24"/>
          <w:szCs w:val="24"/>
          <w:lang w:val="en-US"/>
        </w:rPr>
        <w:t xml:space="preserve"> and strabismus. She has a b</w:t>
      </w:r>
      <w:r w:rsidR="00290F53" w:rsidRPr="00290F53">
        <w:rPr>
          <w:rFonts w:ascii="Times New Roman" w:hAnsi="Times New Roman" w:cs="Times New Roman"/>
          <w:color w:val="auto"/>
          <w:sz w:val="24"/>
          <w:szCs w:val="24"/>
          <w:lang w:val="en-US"/>
        </w:rPr>
        <w:t xml:space="preserve">road and square lower face, broad chin with mandibular </w:t>
      </w:r>
      <w:proofErr w:type="spellStart"/>
      <w:r w:rsidR="00290F53" w:rsidRPr="00290F53">
        <w:rPr>
          <w:rFonts w:ascii="Times New Roman" w:hAnsi="Times New Roman" w:cs="Times New Roman"/>
          <w:color w:val="auto"/>
          <w:sz w:val="24"/>
          <w:szCs w:val="24"/>
          <w:lang w:val="en-US"/>
        </w:rPr>
        <w:t>prognathia</w:t>
      </w:r>
      <w:proofErr w:type="spellEnd"/>
      <w:r w:rsidR="00290F53" w:rsidRPr="00290F53">
        <w:rPr>
          <w:rFonts w:ascii="Times New Roman" w:hAnsi="Times New Roman" w:cs="Times New Roman"/>
          <w:color w:val="auto"/>
          <w:sz w:val="24"/>
          <w:szCs w:val="24"/>
          <w:lang w:val="en-US"/>
        </w:rPr>
        <w:t>, wide mouth</w:t>
      </w:r>
      <w:r w:rsidR="00290F53">
        <w:rPr>
          <w:rFonts w:ascii="Times New Roman" w:hAnsi="Times New Roman" w:cs="Times New Roman"/>
          <w:color w:val="auto"/>
          <w:sz w:val="24"/>
          <w:szCs w:val="24"/>
          <w:lang w:val="en-US"/>
        </w:rPr>
        <w:t xml:space="preserve"> and </w:t>
      </w:r>
      <w:r w:rsidR="00290F53" w:rsidRPr="00290F53">
        <w:rPr>
          <w:rFonts w:ascii="Times New Roman" w:hAnsi="Times New Roman" w:cs="Times New Roman"/>
          <w:color w:val="auto"/>
          <w:sz w:val="24"/>
          <w:szCs w:val="24"/>
          <w:lang w:val="en-US"/>
        </w:rPr>
        <w:t>narrow forehead</w:t>
      </w:r>
      <w:r w:rsidR="00C17772">
        <w:rPr>
          <w:rFonts w:ascii="Times New Roman" w:hAnsi="Times New Roman" w:cs="Times New Roman"/>
          <w:color w:val="auto"/>
          <w:sz w:val="24"/>
          <w:szCs w:val="24"/>
          <w:lang w:val="en-US"/>
        </w:rPr>
        <w:t xml:space="preserve"> </w:t>
      </w:r>
      <w:r w:rsidRPr="009723BE">
        <w:rPr>
          <w:rFonts w:ascii="Times New Roman" w:hAnsi="Times New Roman" w:cs="Times New Roman"/>
          <w:color w:val="auto"/>
          <w:sz w:val="24"/>
          <w:szCs w:val="24"/>
          <w:lang w:val="en-US"/>
        </w:rPr>
        <w:t>(Fig</w:t>
      </w:r>
      <w:r w:rsidR="009723BE">
        <w:rPr>
          <w:rFonts w:ascii="Times New Roman" w:hAnsi="Times New Roman" w:cs="Times New Roman"/>
          <w:color w:val="auto"/>
          <w:sz w:val="24"/>
          <w:szCs w:val="24"/>
          <w:lang w:val="en-US"/>
        </w:rPr>
        <w:t>.</w:t>
      </w:r>
      <w:r w:rsidRPr="009723BE">
        <w:rPr>
          <w:rFonts w:ascii="Times New Roman" w:hAnsi="Times New Roman" w:cs="Times New Roman"/>
          <w:color w:val="auto"/>
          <w:sz w:val="24"/>
          <w:szCs w:val="24"/>
          <w:lang w:val="en-US"/>
        </w:rPr>
        <w:t xml:space="preserve"> </w:t>
      </w:r>
      <w:r w:rsidR="001D6669">
        <w:rPr>
          <w:rFonts w:ascii="Times New Roman" w:hAnsi="Times New Roman" w:cs="Times New Roman"/>
          <w:color w:val="auto"/>
          <w:sz w:val="24"/>
          <w:szCs w:val="24"/>
          <w:lang w:val="en-US"/>
        </w:rPr>
        <w:t>3</w:t>
      </w:r>
      <w:r w:rsidRPr="009723BE">
        <w:rPr>
          <w:rFonts w:ascii="Times New Roman" w:hAnsi="Times New Roman" w:cs="Times New Roman"/>
          <w:color w:val="auto"/>
          <w:sz w:val="24"/>
          <w:szCs w:val="24"/>
          <w:lang w:val="en-US"/>
        </w:rPr>
        <w:t xml:space="preserve">). </w:t>
      </w:r>
      <w:r w:rsidR="00290F53">
        <w:rPr>
          <w:rFonts w:ascii="Times New Roman" w:hAnsi="Times New Roman" w:cs="Times New Roman"/>
          <w:sz w:val="24"/>
          <w:szCs w:val="24"/>
          <w:lang w:val="en-US"/>
        </w:rPr>
        <w:t>Her h</w:t>
      </w:r>
      <w:r w:rsidRPr="00140F10">
        <w:rPr>
          <w:rFonts w:ascii="Times New Roman" w:hAnsi="Times New Roman" w:cs="Times New Roman"/>
          <w:sz w:val="24"/>
          <w:szCs w:val="24"/>
          <w:lang w:val="en-US"/>
        </w:rPr>
        <w:t>ead circumference and length are around -2,5 SD and weight</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 xml:space="preserve">-3,5 SD. </w:t>
      </w:r>
      <w:r>
        <w:rPr>
          <w:rFonts w:ascii="Times New Roman" w:hAnsi="Times New Roman" w:cs="Times New Roman"/>
          <w:sz w:val="24"/>
          <w:szCs w:val="24"/>
          <w:lang w:val="en-US"/>
        </w:rPr>
        <w:t>The patient</w:t>
      </w:r>
      <w:r w:rsidRPr="00140F10">
        <w:rPr>
          <w:rFonts w:ascii="Times New Roman" w:hAnsi="Times New Roman" w:cs="Times New Roman"/>
          <w:sz w:val="24"/>
          <w:szCs w:val="24"/>
          <w:lang w:val="en-US"/>
        </w:rPr>
        <w:t xml:space="preserve"> has </w:t>
      </w:r>
      <w:r>
        <w:rPr>
          <w:rFonts w:ascii="Times New Roman" w:hAnsi="Times New Roman" w:cs="Times New Roman"/>
          <w:sz w:val="24"/>
          <w:szCs w:val="24"/>
          <w:lang w:val="en-US"/>
        </w:rPr>
        <w:t>s</w:t>
      </w:r>
      <w:r w:rsidRPr="00140F10">
        <w:rPr>
          <w:rFonts w:ascii="Times New Roman" w:hAnsi="Times New Roman" w:cs="Times New Roman"/>
          <w:sz w:val="24"/>
          <w:szCs w:val="24"/>
          <w:lang w:val="en-US"/>
        </w:rPr>
        <w:t xml:space="preserve">evere intellectual disability </w:t>
      </w:r>
      <w:r>
        <w:rPr>
          <w:rFonts w:ascii="Times New Roman" w:hAnsi="Times New Roman" w:cs="Times New Roman"/>
          <w:sz w:val="24"/>
          <w:szCs w:val="24"/>
          <w:lang w:val="en-US"/>
        </w:rPr>
        <w:t xml:space="preserve">and </w:t>
      </w:r>
      <w:r w:rsidRPr="00140F10">
        <w:rPr>
          <w:rFonts w:ascii="Times New Roman" w:hAnsi="Times New Roman" w:cs="Times New Roman"/>
          <w:sz w:val="24"/>
          <w:szCs w:val="24"/>
          <w:lang w:val="en-US"/>
        </w:rPr>
        <w:t>no verbal language</w:t>
      </w:r>
      <w:r>
        <w:rPr>
          <w:rFonts w:ascii="Times New Roman" w:hAnsi="Times New Roman" w:cs="Times New Roman"/>
          <w:sz w:val="24"/>
          <w:szCs w:val="24"/>
          <w:lang w:val="en-US"/>
        </w:rPr>
        <w:t>. S</w:t>
      </w:r>
      <w:r w:rsidRPr="00140F10">
        <w:rPr>
          <w:rFonts w:ascii="Times New Roman" w:hAnsi="Times New Roman" w:cs="Times New Roman"/>
          <w:sz w:val="24"/>
          <w:szCs w:val="24"/>
          <w:lang w:val="en-US"/>
        </w:rPr>
        <w:t xml:space="preserve">he still shows muscle hypotonia, cannot stand or walk </w:t>
      </w:r>
      <w:r>
        <w:rPr>
          <w:rFonts w:ascii="Times New Roman" w:hAnsi="Times New Roman" w:cs="Times New Roman"/>
          <w:sz w:val="24"/>
          <w:szCs w:val="24"/>
          <w:lang w:val="en-US"/>
        </w:rPr>
        <w:t xml:space="preserve">but </w:t>
      </w:r>
      <w:r w:rsidRPr="00140F10">
        <w:rPr>
          <w:rFonts w:ascii="Times New Roman" w:hAnsi="Times New Roman" w:cs="Times New Roman"/>
          <w:sz w:val="24"/>
          <w:szCs w:val="24"/>
          <w:lang w:val="en-US"/>
        </w:rPr>
        <w:t>crawl</w:t>
      </w:r>
      <w:r>
        <w:rPr>
          <w:rFonts w:ascii="Times New Roman" w:hAnsi="Times New Roman" w:cs="Times New Roman"/>
          <w:sz w:val="24"/>
          <w:szCs w:val="24"/>
          <w:lang w:val="en-US"/>
        </w:rPr>
        <w:t>s</w:t>
      </w:r>
      <w:r w:rsidRPr="00140F10">
        <w:rPr>
          <w:rFonts w:ascii="Times New Roman" w:hAnsi="Times New Roman" w:cs="Times New Roman"/>
          <w:sz w:val="24"/>
          <w:szCs w:val="24"/>
          <w:lang w:val="en-US"/>
        </w:rPr>
        <w:t xml:space="preserve"> and sits without support. She use</w:t>
      </w:r>
      <w:r>
        <w:rPr>
          <w:rFonts w:ascii="Times New Roman" w:hAnsi="Times New Roman" w:cs="Times New Roman"/>
          <w:sz w:val="24"/>
          <w:szCs w:val="24"/>
          <w:lang w:val="en-US"/>
        </w:rPr>
        <w:t>s</w:t>
      </w:r>
      <w:r w:rsidRPr="00140F10">
        <w:rPr>
          <w:rFonts w:ascii="Times New Roman" w:hAnsi="Times New Roman" w:cs="Times New Roman"/>
          <w:sz w:val="24"/>
          <w:szCs w:val="24"/>
          <w:lang w:val="en-US"/>
        </w:rPr>
        <w:t xml:space="preserve"> her hands to </w:t>
      </w:r>
      <w:r>
        <w:rPr>
          <w:rFonts w:ascii="Times New Roman" w:hAnsi="Times New Roman" w:cs="Times New Roman"/>
          <w:sz w:val="24"/>
          <w:szCs w:val="24"/>
          <w:lang w:val="en-US"/>
        </w:rPr>
        <w:t>grasp objects</w:t>
      </w:r>
      <w:r w:rsidRPr="00140F10">
        <w:rPr>
          <w:rFonts w:ascii="Times New Roman" w:hAnsi="Times New Roman" w:cs="Times New Roman"/>
          <w:sz w:val="24"/>
          <w:szCs w:val="24"/>
          <w:lang w:val="en-US"/>
        </w:rPr>
        <w:t>. Her movements are slightly ataxic.</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Hearing impairment has been diagnosed and she</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tried but rejected hearing aid</w:t>
      </w:r>
      <w:r>
        <w:rPr>
          <w:rFonts w:ascii="Times New Roman" w:hAnsi="Times New Roman" w:cs="Times New Roman"/>
          <w:sz w:val="24"/>
          <w:szCs w:val="24"/>
          <w:lang w:val="en-US"/>
        </w:rPr>
        <w:t>s</w:t>
      </w:r>
      <w:r w:rsidRPr="00140F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 xml:space="preserve">A Schirmer test </w:t>
      </w:r>
      <w:r>
        <w:rPr>
          <w:rFonts w:ascii="Times New Roman" w:hAnsi="Times New Roman" w:cs="Times New Roman"/>
          <w:sz w:val="24"/>
          <w:szCs w:val="24"/>
          <w:lang w:val="en-US"/>
        </w:rPr>
        <w:t>showed</w:t>
      </w:r>
      <w:r w:rsidRPr="00140F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severely </w:t>
      </w:r>
      <w:r w:rsidRPr="00140F10">
        <w:rPr>
          <w:rFonts w:ascii="Times New Roman" w:hAnsi="Times New Roman" w:cs="Times New Roman"/>
          <w:sz w:val="24"/>
          <w:szCs w:val="24"/>
          <w:lang w:val="en-US"/>
        </w:rPr>
        <w:t>reduced tear fluid.</w:t>
      </w:r>
      <w:r>
        <w:rPr>
          <w:rFonts w:ascii="Times New Roman" w:hAnsi="Times New Roman" w:cs="Times New Roman"/>
          <w:sz w:val="24"/>
          <w:szCs w:val="24"/>
          <w:lang w:val="en-US"/>
        </w:rPr>
        <w:t xml:space="preserve"> </w:t>
      </w:r>
      <w:r w:rsidRPr="00140F10">
        <w:rPr>
          <w:rFonts w:ascii="Times New Roman" w:hAnsi="Times New Roman" w:cs="Times New Roman"/>
          <w:sz w:val="24"/>
          <w:szCs w:val="24"/>
          <w:lang w:val="en-US"/>
        </w:rPr>
        <w:t xml:space="preserve">She has a dry mouth with </w:t>
      </w:r>
      <w:r>
        <w:rPr>
          <w:rFonts w:ascii="Times New Roman" w:hAnsi="Times New Roman" w:cs="Times New Roman"/>
          <w:sz w:val="24"/>
          <w:szCs w:val="24"/>
          <w:lang w:val="en-US"/>
        </w:rPr>
        <w:t>lack of</w:t>
      </w:r>
      <w:r w:rsidRPr="00140F10">
        <w:rPr>
          <w:rFonts w:ascii="Times New Roman" w:hAnsi="Times New Roman" w:cs="Times New Roman"/>
          <w:sz w:val="24"/>
          <w:szCs w:val="24"/>
          <w:lang w:val="en-US"/>
        </w:rPr>
        <w:t xml:space="preserve"> saliva. An abnormal sympathetic skin response test </w:t>
      </w:r>
      <w:r>
        <w:rPr>
          <w:rFonts w:ascii="Times New Roman" w:hAnsi="Times New Roman" w:cs="Times New Roman"/>
          <w:sz w:val="24"/>
          <w:szCs w:val="24"/>
          <w:lang w:val="en-US"/>
        </w:rPr>
        <w:t>confirmed</w:t>
      </w:r>
      <w:r w:rsidRPr="00140F10">
        <w:rPr>
          <w:rFonts w:ascii="Times New Roman" w:hAnsi="Times New Roman" w:cs="Times New Roman"/>
          <w:sz w:val="24"/>
          <w:szCs w:val="24"/>
          <w:lang w:val="en-US"/>
        </w:rPr>
        <w:t xml:space="preserve"> the </w:t>
      </w:r>
      <w:r>
        <w:rPr>
          <w:rFonts w:ascii="Times New Roman" w:hAnsi="Times New Roman" w:cs="Times New Roman"/>
          <w:sz w:val="24"/>
          <w:szCs w:val="24"/>
          <w:lang w:val="en-US"/>
        </w:rPr>
        <w:t>observed absence of</w:t>
      </w:r>
      <w:r w:rsidRPr="00140F10">
        <w:rPr>
          <w:rFonts w:ascii="Times New Roman" w:hAnsi="Times New Roman" w:cs="Times New Roman"/>
          <w:sz w:val="24"/>
          <w:szCs w:val="24"/>
          <w:lang w:val="en-US"/>
        </w:rPr>
        <w:t xml:space="preserve"> sweating.</w:t>
      </w:r>
      <w:r>
        <w:rPr>
          <w:rFonts w:ascii="Times New Roman" w:hAnsi="Times New Roman" w:cs="Times New Roman"/>
          <w:sz w:val="24"/>
          <w:szCs w:val="24"/>
          <w:lang w:val="en-US"/>
        </w:rPr>
        <w:t xml:space="preserve"> Her r</w:t>
      </w:r>
      <w:r w:rsidRPr="00140F10">
        <w:rPr>
          <w:rFonts w:ascii="Times New Roman" w:hAnsi="Times New Roman" w:cs="Times New Roman"/>
          <w:sz w:val="24"/>
          <w:szCs w:val="24"/>
          <w:lang w:val="en-US"/>
        </w:rPr>
        <w:t xml:space="preserve">espiratory mucosa </w:t>
      </w:r>
      <w:r>
        <w:rPr>
          <w:rFonts w:ascii="Times New Roman" w:hAnsi="Times New Roman" w:cs="Times New Roman"/>
          <w:sz w:val="24"/>
          <w:szCs w:val="24"/>
          <w:lang w:val="en-US"/>
        </w:rPr>
        <w:t xml:space="preserve">is dry </w:t>
      </w:r>
      <w:r w:rsidRPr="00140F10">
        <w:rPr>
          <w:rFonts w:ascii="Times New Roman" w:hAnsi="Times New Roman" w:cs="Times New Roman"/>
          <w:sz w:val="24"/>
          <w:szCs w:val="24"/>
          <w:lang w:val="en-US"/>
        </w:rPr>
        <w:t xml:space="preserve">which necessitates </w:t>
      </w:r>
      <w:r>
        <w:rPr>
          <w:rFonts w:ascii="Times New Roman" w:hAnsi="Times New Roman" w:cs="Times New Roman"/>
          <w:sz w:val="24"/>
          <w:szCs w:val="24"/>
          <w:lang w:val="en-US"/>
        </w:rPr>
        <w:t>frequent</w:t>
      </w:r>
      <w:r w:rsidRPr="00140F10">
        <w:rPr>
          <w:rFonts w:ascii="Times New Roman" w:hAnsi="Times New Roman" w:cs="Times New Roman"/>
          <w:sz w:val="24"/>
          <w:szCs w:val="24"/>
          <w:lang w:val="en-US"/>
        </w:rPr>
        <w:t xml:space="preserve"> inhalations </w:t>
      </w:r>
      <w:r>
        <w:rPr>
          <w:rFonts w:ascii="Times New Roman" w:hAnsi="Times New Roman" w:cs="Times New Roman"/>
          <w:sz w:val="24"/>
          <w:szCs w:val="24"/>
          <w:lang w:val="en-US"/>
        </w:rPr>
        <w:t>of</w:t>
      </w:r>
      <w:r w:rsidRPr="00140F10">
        <w:rPr>
          <w:rFonts w:ascii="Times New Roman" w:hAnsi="Times New Roman" w:cs="Times New Roman"/>
          <w:sz w:val="24"/>
          <w:szCs w:val="24"/>
          <w:lang w:val="en-US"/>
        </w:rPr>
        <w:t xml:space="preserve"> hypertonic sodium chloride to prevent mucus plugs. </w:t>
      </w:r>
      <w:r w:rsidRPr="002A0548">
        <w:rPr>
          <w:rFonts w:ascii="Times New Roman" w:hAnsi="Times New Roman" w:cs="Times New Roman"/>
          <w:sz w:val="24"/>
          <w:szCs w:val="24"/>
        </w:rPr>
        <w:t>An upper gastrointestinal contrast study revealed intestinal malrotation</w:t>
      </w:r>
      <w:r>
        <w:rPr>
          <w:rFonts w:ascii="Times New Roman" w:hAnsi="Times New Roman" w:cs="Times New Roman"/>
          <w:sz w:val="24"/>
          <w:szCs w:val="24"/>
        </w:rPr>
        <w:t xml:space="preserve"> and she suffers from constipation</w:t>
      </w:r>
      <w:r w:rsidRPr="002A0548">
        <w:rPr>
          <w:rFonts w:ascii="Times New Roman" w:hAnsi="Times New Roman" w:cs="Times New Roman"/>
          <w:sz w:val="24"/>
          <w:szCs w:val="24"/>
        </w:rPr>
        <w:t>.</w:t>
      </w:r>
      <w:r w:rsidRPr="002A0548">
        <w:rPr>
          <w:rFonts w:ascii="Times New Roman" w:hAnsi="Times New Roman" w:cs="Times New Roman"/>
          <w:sz w:val="24"/>
          <w:szCs w:val="24"/>
          <w:lang w:val="en-US"/>
        </w:rPr>
        <w:t xml:space="preserve"> </w:t>
      </w:r>
      <w:r w:rsidR="00032E61">
        <w:rPr>
          <w:rFonts w:ascii="Times New Roman" w:hAnsi="Times New Roman" w:cs="Times New Roman"/>
          <w:sz w:val="24"/>
          <w:szCs w:val="24"/>
          <w:lang w:val="en-US"/>
        </w:rPr>
        <w:t>F</w:t>
      </w:r>
      <w:r w:rsidR="00032E61" w:rsidRPr="00C21B43">
        <w:rPr>
          <w:rFonts w:ascii="Times New Roman" w:hAnsi="Times New Roman" w:cs="Times New Roman"/>
          <w:sz w:val="24"/>
          <w:szCs w:val="24"/>
          <w:lang w:val="en-US"/>
        </w:rPr>
        <w:t xml:space="preserve">ollow-up MRI </w:t>
      </w:r>
      <w:r w:rsidR="00032E61">
        <w:rPr>
          <w:rFonts w:ascii="Times New Roman" w:hAnsi="Times New Roman" w:cs="Times New Roman"/>
          <w:sz w:val="24"/>
          <w:szCs w:val="24"/>
          <w:lang w:val="en-US"/>
        </w:rPr>
        <w:t xml:space="preserve">investigations of the </w:t>
      </w:r>
      <w:r w:rsidR="00032E61" w:rsidRPr="00C21B43">
        <w:rPr>
          <w:rFonts w:ascii="Times New Roman" w:hAnsi="Times New Roman" w:cs="Times New Roman"/>
          <w:sz w:val="24"/>
          <w:szCs w:val="24"/>
          <w:lang w:val="en-US"/>
        </w:rPr>
        <w:t xml:space="preserve">brain </w:t>
      </w:r>
      <w:r w:rsidR="00032E61">
        <w:rPr>
          <w:rFonts w:ascii="Times New Roman" w:hAnsi="Times New Roman" w:cs="Times New Roman"/>
          <w:sz w:val="24"/>
          <w:szCs w:val="24"/>
          <w:lang w:val="en-US"/>
        </w:rPr>
        <w:t>have been performed at</w:t>
      </w:r>
      <w:r w:rsidR="00032E61" w:rsidRPr="00C21B43">
        <w:rPr>
          <w:rFonts w:ascii="Times New Roman" w:hAnsi="Times New Roman" w:cs="Times New Roman"/>
          <w:sz w:val="24"/>
          <w:szCs w:val="24"/>
          <w:lang w:val="en-US"/>
        </w:rPr>
        <w:t xml:space="preserve"> 2 months </w:t>
      </w:r>
      <w:r w:rsidR="00032E61" w:rsidRPr="00032E61">
        <w:rPr>
          <w:rFonts w:ascii="Times New Roman" w:hAnsi="Times New Roman" w:cs="Times New Roman"/>
          <w:sz w:val="24"/>
          <w:szCs w:val="24"/>
          <w:lang w:val="en-US"/>
        </w:rPr>
        <w:t xml:space="preserve">(figure 2F-J) and 4 years </w:t>
      </w:r>
      <w:r w:rsidR="00032E61" w:rsidRPr="00032E61">
        <w:rPr>
          <w:rFonts w:ascii="Times New Roman" w:hAnsi="Times New Roman" w:cs="Times New Roman"/>
          <w:color w:val="auto"/>
          <w:sz w:val="24"/>
          <w:szCs w:val="24"/>
          <w:lang w:val="en-US"/>
        </w:rPr>
        <w:t>(</w:t>
      </w:r>
      <w:r w:rsidR="00032E61" w:rsidRPr="00032E61">
        <w:rPr>
          <w:rFonts w:ascii="Times New Roman" w:hAnsi="Times New Roman" w:cs="Times New Roman"/>
          <w:color w:val="auto"/>
          <w:sz w:val="24"/>
          <w:szCs w:val="24"/>
          <w:u w:color="FF0000"/>
          <w:lang w:val="en-US"/>
        </w:rPr>
        <w:t>figure 2K-O and 3F-J)</w:t>
      </w:r>
      <w:r w:rsidR="00032E61" w:rsidRPr="00032E61">
        <w:rPr>
          <w:rFonts w:ascii="Times New Roman" w:hAnsi="Times New Roman" w:cs="Times New Roman"/>
          <w:sz w:val="24"/>
          <w:szCs w:val="24"/>
          <w:lang w:val="en-US"/>
        </w:rPr>
        <w:t>, and CSF analyses at 4 months and 4 year</w:t>
      </w:r>
      <w:r w:rsidR="00032E61">
        <w:rPr>
          <w:rFonts w:ascii="Times New Roman" w:hAnsi="Times New Roman" w:cs="Times New Roman"/>
          <w:sz w:val="24"/>
          <w:szCs w:val="24"/>
          <w:lang w:val="en-US"/>
        </w:rPr>
        <w:t xml:space="preserve">s </w:t>
      </w:r>
      <w:bookmarkStart w:id="1" w:name="_Hlk36023360"/>
      <w:r w:rsidR="00032E61" w:rsidRPr="00E30030">
        <w:rPr>
          <w:rFonts w:ascii="Times New Roman" w:hAnsi="Times New Roman" w:cs="Times New Roman"/>
          <w:color w:val="auto"/>
          <w:sz w:val="24"/>
          <w:szCs w:val="24"/>
          <w:u w:color="FF0000"/>
          <w:lang w:val="en-US"/>
        </w:rPr>
        <w:t>(</w:t>
      </w:r>
      <w:r w:rsidR="00032E61">
        <w:rPr>
          <w:rFonts w:ascii="Times New Roman" w:hAnsi="Times New Roman" w:cs="Times New Roman"/>
          <w:color w:val="auto"/>
          <w:sz w:val="24"/>
          <w:szCs w:val="24"/>
          <w:u w:color="FF0000"/>
          <w:lang w:val="en-US"/>
        </w:rPr>
        <w:t>Supplementary material; t</w:t>
      </w:r>
      <w:r w:rsidR="00032E61" w:rsidRPr="00E30030">
        <w:rPr>
          <w:rFonts w:ascii="Times New Roman" w:hAnsi="Times New Roman" w:cs="Times New Roman"/>
          <w:color w:val="auto"/>
          <w:sz w:val="24"/>
          <w:szCs w:val="24"/>
          <w:u w:color="FF0000"/>
          <w:lang w:val="en-US"/>
        </w:rPr>
        <w:t>able</w:t>
      </w:r>
      <w:r w:rsidR="00032E61">
        <w:rPr>
          <w:rFonts w:ascii="Times New Roman" w:hAnsi="Times New Roman" w:cs="Times New Roman"/>
          <w:color w:val="auto"/>
          <w:sz w:val="24"/>
          <w:szCs w:val="24"/>
          <w:u w:color="FF0000"/>
          <w:lang w:val="en-US"/>
        </w:rPr>
        <w:t xml:space="preserve"> e-</w:t>
      </w:r>
      <w:r w:rsidR="00032E61" w:rsidRPr="00E30030">
        <w:rPr>
          <w:rFonts w:ascii="Times New Roman" w:hAnsi="Times New Roman" w:cs="Times New Roman"/>
          <w:color w:val="auto"/>
          <w:sz w:val="24"/>
          <w:szCs w:val="24"/>
          <w:u w:color="FF0000"/>
          <w:lang w:val="en-US"/>
        </w:rPr>
        <w:t>1)</w:t>
      </w:r>
      <w:bookmarkEnd w:id="1"/>
      <w:r w:rsidR="00032E61" w:rsidRPr="00140F10">
        <w:rPr>
          <w:rFonts w:ascii="Times New Roman" w:hAnsi="Times New Roman" w:cs="Times New Roman"/>
          <w:sz w:val="24"/>
          <w:szCs w:val="24"/>
          <w:lang w:val="en-US"/>
        </w:rPr>
        <w:t>.</w:t>
      </w:r>
      <w:r w:rsidR="00032E61">
        <w:rPr>
          <w:rFonts w:ascii="Times New Roman" w:hAnsi="Times New Roman" w:cs="Times New Roman"/>
          <w:sz w:val="24"/>
          <w:szCs w:val="24"/>
          <w:lang w:val="en-US"/>
        </w:rPr>
        <w:t xml:space="preserve"> </w:t>
      </w:r>
      <w:r w:rsidRPr="006356A3">
        <w:rPr>
          <w:rFonts w:ascii="Times New Roman" w:hAnsi="Times New Roman" w:cs="Times New Roman"/>
          <w:sz w:val="24"/>
          <w:szCs w:val="24"/>
          <w:lang w:val="en-US"/>
        </w:rPr>
        <w:t>At 4 months and 4 years of age</w:t>
      </w:r>
      <w:r>
        <w:rPr>
          <w:rFonts w:ascii="Times New Roman" w:hAnsi="Times New Roman" w:cs="Times New Roman"/>
          <w:sz w:val="24"/>
          <w:szCs w:val="24"/>
          <w:lang w:val="en-US"/>
        </w:rPr>
        <w:t xml:space="preserve"> </w:t>
      </w:r>
      <w:r w:rsidRPr="006356A3">
        <w:rPr>
          <w:rFonts w:ascii="Times New Roman" w:hAnsi="Times New Roman" w:cs="Times New Roman"/>
          <w:sz w:val="24"/>
          <w:szCs w:val="24"/>
          <w:lang w:val="en-US"/>
        </w:rPr>
        <w:t xml:space="preserve">albumin and damage biomarkers in CSF remained elevated, however, reduced compared to day 23. </w:t>
      </w:r>
      <w:r w:rsidR="009723BE">
        <w:rPr>
          <w:rFonts w:ascii="Times New Roman" w:hAnsi="Times New Roman" w:cs="Times New Roman"/>
          <w:sz w:val="24"/>
          <w:szCs w:val="24"/>
          <w:lang w:val="en-US"/>
        </w:rPr>
        <w:t>G</w:t>
      </w:r>
      <w:r w:rsidR="009723BE" w:rsidRPr="009723BE">
        <w:rPr>
          <w:rFonts w:ascii="Times New Roman" w:hAnsi="Times New Roman" w:cs="Times New Roman"/>
          <w:sz w:val="24"/>
          <w:szCs w:val="24"/>
          <w:lang w:val="en-US"/>
        </w:rPr>
        <w:t xml:space="preserve">lial fibrillary acidic protein </w:t>
      </w:r>
      <w:r w:rsidR="009723BE">
        <w:rPr>
          <w:rFonts w:ascii="Times New Roman" w:hAnsi="Times New Roman" w:cs="Times New Roman"/>
          <w:sz w:val="24"/>
          <w:szCs w:val="24"/>
          <w:lang w:val="en-US"/>
        </w:rPr>
        <w:t>(</w:t>
      </w:r>
      <w:r w:rsidRPr="006356A3">
        <w:rPr>
          <w:rFonts w:ascii="Times New Roman" w:hAnsi="Times New Roman" w:cs="Times New Roman"/>
          <w:sz w:val="24"/>
          <w:szCs w:val="24"/>
          <w:lang w:val="en-US"/>
        </w:rPr>
        <w:t>GFAP</w:t>
      </w:r>
      <w:r w:rsidR="009723BE">
        <w:rPr>
          <w:rFonts w:ascii="Times New Roman" w:hAnsi="Times New Roman" w:cs="Times New Roman"/>
          <w:sz w:val="24"/>
          <w:szCs w:val="24"/>
          <w:lang w:val="en-US"/>
        </w:rPr>
        <w:t>)</w:t>
      </w:r>
      <w:r w:rsidRPr="006356A3">
        <w:rPr>
          <w:rFonts w:ascii="Times New Roman" w:hAnsi="Times New Roman" w:cs="Times New Roman"/>
          <w:sz w:val="24"/>
          <w:szCs w:val="24"/>
          <w:lang w:val="en-US"/>
        </w:rPr>
        <w:t xml:space="preserve"> was an </w:t>
      </w:r>
      <w:r w:rsidRPr="006356A3">
        <w:rPr>
          <w:rFonts w:ascii="Times New Roman" w:hAnsi="Times New Roman" w:cs="Times New Roman"/>
          <w:sz w:val="24"/>
          <w:szCs w:val="24"/>
          <w:lang w:val="en-US"/>
        </w:rPr>
        <w:lastRenderedPageBreak/>
        <w:t>exception, being increased at 4 months compared to day 23</w:t>
      </w:r>
      <w:r>
        <w:rPr>
          <w:rFonts w:ascii="Times New Roman" w:hAnsi="Times New Roman" w:cs="Times New Roman"/>
          <w:sz w:val="24"/>
          <w:szCs w:val="24"/>
          <w:lang w:val="en-US"/>
        </w:rPr>
        <w:t xml:space="preserve"> </w:t>
      </w:r>
      <w:r w:rsidRPr="009723BE">
        <w:rPr>
          <w:rFonts w:ascii="Times New Roman" w:hAnsi="Times New Roman" w:cs="Times New Roman"/>
          <w:color w:val="auto"/>
          <w:sz w:val="24"/>
          <w:szCs w:val="24"/>
          <w:u w:color="FF0000"/>
          <w:lang w:val="en-US"/>
        </w:rPr>
        <w:t>(</w:t>
      </w:r>
      <w:r w:rsidR="009723BE">
        <w:rPr>
          <w:rFonts w:ascii="Times New Roman" w:hAnsi="Times New Roman" w:cs="Times New Roman"/>
          <w:color w:val="auto"/>
          <w:sz w:val="24"/>
          <w:szCs w:val="24"/>
          <w:u w:color="FF0000"/>
          <w:lang w:val="en-US"/>
        </w:rPr>
        <w:t xml:space="preserve">Supplementary material; </w:t>
      </w:r>
      <w:r w:rsidRPr="009723BE">
        <w:rPr>
          <w:rFonts w:ascii="Times New Roman" w:hAnsi="Times New Roman" w:cs="Times New Roman"/>
          <w:color w:val="auto"/>
          <w:sz w:val="24"/>
          <w:szCs w:val="24"/>
          <w:u w:color="FF0000"/>
          <w:lang w:val="en-US"/>
        </w:rPr>
        <w:t>Table 1)</w:t>
      </w:r>
      <w:r w:rsidRPr="009723BE">
        <w:rPr>
          <w:rFonts w:ascii="Times New Roman" w:hAnsi="Times New Roman" w:cs="Times New Roman"/>
          <w:color w:val="auto"/>
          <w:sz w:val="24"/>
          <w:szCs w:val="24"/>
          <w:lang w:val="en-US"/>
        </w:rPr>
        <w:t>.</w:t>
      </w:r>
      <w:r>
        <w:br w:type="page"/>
      </w:r>
    </w:p>
    <w:p w14:paraId="260A5692" w14:textId="05A2BAF4" w:rsidR="0043698F" w:rsidRDefault="006872AA" w:rsidP="0043698F">
      <w:pPr>
        <w:pStyle w:val="BodyText"/>
        <w:spacing w:line="360" w:lineRule="auto"/>
        <w:ind w:left="360"/>
        <w:rPr>
          <w:rFonts w:ascii="Times New Roman" w:eastAsia="Times New Roman" w:hAnsi="Times New Roman" w:cs="Times New Roman"/>
          <w:sz w:val="24"/>
          <w:szCs w:val="24"/>
        </w:rPr>
      </w:pPr>
      <w:bookmarkStart w:id="2" w:name="_Hlk40563861"/>
      <w:r>
        <w:rPr>
          <w:rFonts w:ascii="Times New Roman" w:hAnsi="Times New Roman" w:cs="Times New Roman"/>
          <w:color w:val="auto"/>
          <w:sz w:val="24"/>
          <w:szCs w:val="24"/>
          <w:u w:color="FF0000"/>
          <w:lang w:val="en-US"/>
        </w:rPr>
        <w:lastRenderedPageBreak/>
        <w:t>T</w:t>
      </w:r>
      <w:r w:rsidR="006D55FF" w:rsidRPr="00E30030">
        <w:rPr>
          <w:rFonts w:ascii="Times New Roman" w:hAnsi="Times New Roman" w:cs="Times New Roman"/>
          <w:color w:val="auto"/>
          <w:sz w:val="24"/>
          <w:szCs w:val="24"/>
          <w:u w:color="FF0000"/>
          <w:lang w:val="en-US"/>
        </w:rPr>
        <w:t>able</w:t>
      </w:r>
      <w:r w:rsidR="006D55FF">
        <w:rPr>
          <w:rFonts w:ascii="Times New Roman" w:hAnsi="Times New Roman" w:cs="Times New Roman"/>
          <w:color w:val="auto"/>
          <w:sz w:val="24"/>
          <w:szCs w:val="24"/>
          <w:u w:color="FF0000"/>
          <w:lang w:val="en-US"/>
        </w:rPr>
        <w:t xml:space="preserve"> e-</w:t>
      </w:r>
      <w:r w:rsidR="006D55FF" w:rsidRPr="00E30030">
        <w:rPr>
          <w:rFonts w:ascii="Times New Roman" w:hAnsi="Times New Roman" w:cs="Times New Roman"/>
          <w:color w:val="auto"/>
          <w:sz w:val="24"/>
          <w:szCs w:val="24"/>
          <w:u w:color="FF0000"/>
          <w:lang w:val="en-US"/>
        </w:rPr>
        <w:t>1</w:t>
      </w:r>
      <w:r w:rsidR="006D55FF">
        <w:rPr>
          <w:rFonts w:ascii="Times New Roman" w:hAnsi="Times New Roman" w:cs="Times New Roman"/>
          <w:color w:val="auto"/>
          <w:sz w:val="24"/>
          <w:szCs w:val="24"/>
          <w:u w:color="FF0000"/>
          <w:lang w:val="en-US"/>
        </w:rPr>
        <w:t xml:space="preserve">. </w:t>
      </w:r>
      <w:r w:rsidR="0043698F">
        <w:rPr>
          <w:rFonts w:ascii="Times New Roman" w:eastAsia="Times New Roman" w:hAnsi="Times New Roman" w:cs="Times New Roman"/>
          <w:sz w:val="24"/>
          <w:szCs w:val="24"/>
        </w:rPr>
        <w:t xml:space="preserve">CSF findings </w:t>
      </w:r>
      <w:r w:rsidR="006D55FF">
        <w:rPr>
          <w:rFonts w:ascii="Times New Roman" w:eastAsia="Times New Roman" w:hAnsi="Times New Roman" w:cs="Times New Roman"/>
          <w:sz w:val="24"/>
          <w:szCs w:val="24"/>
        </w:rPr>
        <w:t>of t</w:t>
      </w:r>
      <w:r w:rsidR="006D55FF" w:rsidRPr="006D55FF">
        <w:rPr>
          <w:rFonts w:ascii="Times New Roman" w:eastAsia="Times New Roman" w:hAnsi="Times New Roman" w:cs="Times New Roman"/>
          <w:sz w:val="24"/>
          <w:szCs w:val="24"/>
        </w:rPr>
        <w:t>he proband (II:3)</w:t>
      </w:r>
      <w:r w:rsidR="006D55FF">
        <w:rPr>
          <w:rFonts w:ascii="Times New Roman" w:eastAsia="Times New Roman" w:hAnsi="Times New Roman" w:cs="Times New Roman"/>
          <w:sz w:val="24"/>
          <w:szCs w:val="24"/>
        </w:rPr>
        <w:t xml:space="preserve"> </w:t>
      </w:r>
      <w:r w:rsidR="0043698F">
        <w:rPr>
          <w:rFonts w:ascii="Times New Roman" w:eastAsia="Times New Roman" w:hAnsi="Times New Roman" w:cs="Times New Roman"/>
          <w:sz w:val="24"/>
          <w:szCs w:val="24"/>
        </w:rPr>
        <w:t>at different ages.</w:t>
      </w:r>
      <w:bookmarkEnd w:id="2"/>
    </w:p>
    <w:tbl>
      <w:tblPr>
        <w:tblStyle w:val="TableGrid"/>
        <w:tblW w:w="0" w:type="auto"/>
        <w:tblInd w:w="360" w:type="dxa"/>
        <w:tblLayout w:type="fixed"/>
        <w:tblLook w:val="04A0" w:firstRow="1" w:lastRow="0" w:firstColumn="1" w:lastColumn="0" w:noHBand="0" w:noVBand="1"/>
      </w:tblPr>
      <w:tblGrid>
        <w:gridCol w:w="2187"/>
        <w:gridCol w:w="992"/>
        <w:gridCol w:w="1134"/>
        <w:gridCol w:w="992"/>
      </w:tblGrid>
      <w:tr w:rsidR="0043698F" w:rsidRPr="009C3DB6" w14:paraId="46F9EED6" w14:textId="77777777" w:rsidTr="00267802">
        <w:tc>
          <w:tcPr>
            <w:tcW w:w="2187" w:type="dxa"/>
          </w:tcPr>
          <w:p w14:paraId="75A7DE33" w14:textId="77777777" w:rsidR="0043698F" w:rsidRDefault="0043698F" w:rsidP="00267802">
            <w:pPr>
              <w:pStyle w:val="BodyText"/>
              <w:spacing w:after="0" w:line="240" w:lineRule="auto"/>
              <w:rPr>
                <w:rFonts w:ascii="Times New Roman" w:eastAsia="Times New Roman" w:hAnsi="Times New Roman" w:cs="Times New Roman"/>
                <w:b/>
              </w:rPr>
            </w:pPr>
            <w:r w:rsidRPr="009C3DB6">
              <w:rPr>
                <w:rFonts w:ascii="Times New Roman" w:eastAsia="Times New Roman" w:hAnsi="Times New Roman" w:cs="Times New Roman"/>
                <w:b/>
              </w:rPr>
              <w:t>CSF</w:t>
            </w:r>
            <w:r>
              <w:rPr>
                <w:rFonts w:ascii="Times New Roman" w:eastAsia="Times New Roman" w:hAnsi="Times New Roman" w:cs="Times New Roman"/>
                <w:b/>
              </w:rPr>
              <w:t xml:space="preserve"> tests</w:t>
            </w:r>
          </w:p>
          <w:p w14:paraId="44044F73" w14:textId="77777777" w:rsidR="0043698F" w:rsidRPr="00CB2687" w:rsidRDefault="0043698F" w:rsidP="00267802">
            <w:pPr>
              <w:pStyle w:val="BodyT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2687">
              <w:rPr>
                <w:rFonts w:ascii="Times New Roman" w:eastAsia="Times New Roman" w:hAnsi="Times New Roman" w:cs="Times New Roman"/>
                <w:sz w:val="20"/>
                <w:szCs w:val="20"/>
              </w:rPr>
              <w:t>eference range</w:t>
            </w:r>
          </w:p>
        </w:tc>
        <w:tc>
          <w:tcPr>
            <w:tcW w:w="992" w:type="dxa"/>
          </w:tcPr>
          <w:p w14:paraId="7468D19B" w14:textId="77777777" w:rsidR="0043698F" w:rsidRPr="009C3DB6" w:rsidRDefault="0043698F" w:rsidP="00267802">
            <w:pPr>
              <w:pStyle w:val="BodyText"/>
              <w:spacing w:after="0" w:line="240" w:lineRule="auto"/>
              <w:rPr>
                <w:rFonts w:ascii="Times New Roman" w:eastAsia="Times New Roman" w:hAnsi="Times New Roman" w:cs="Times New Roman"/>
                <w:b/>
              </w:rPr>
            </w:pPr>
            <w:r w:rsidRPr="009C3DB6">
              <w:rPr>
                <w:rFonts w:ascii="Times New Roman" w:eastAsia="Times New Roman" w:hAnsi="Times New Roman" w:cs="Times New Roman"/>
                <w:b/>
              </w:rPr>
              <w:t>Day 23</w:t>
            </w:r>
          </w:p>
        </w:tc>
        <w:tc>
          <w:tcPr>
            <w:tcW w:w="1134" w:type="dxa"/>
          </w:tcPr>
          <w:p w14:paraId="743E178C" w14:textId="77777777" w:rsidR="0043698F" w:rsidRPr="009C3DB6" w:rsidRDefault="0043698F" w:rsidP="00267802">
            <w:pPr>
              <w:pStyle w:val="BodyText"/>
              <w:spacing w:after="0" w:line="240" w:lineRule="auto"/>
              <w:rPr>
                <w:rFonts w:ascii="Times New Roman" w:eastAsia="Times New Roman" w:hAnsi="Times New Roman" w:cs="Times New Roman"/>
                <w:b/>
              </w:rPr>
            </w:pPr>
            <w:r>
              <w:rPr>
                <w:rFonts w:ascii="Times New Roman" w:eastAsia="Times New Roman" w:hAnsi="Times New Roman" w:cs="Times New Roman"/>
                <w:b/>
              </w:rPr>
              <w:t>4</w:t>
            </w:r>
            <w:r w:rsidRPr="009C3DB6">
              <w:rPr>
                <w:rFonts w:ascii="Times New Roman" w:eastAsia="Times New Roman" w:hAnsi="Times New Roman" w:cs="Times New Roman"/>
                <w:b/>
              </w:rPr>
              <w:t xml:space="preserve"> months</w:t>
            </w:r>
          </w:p>
        </w:tc>
        <w:tc>
          <w:tcPr>
            <w:tcW w:w="992" w:type="dxa"/>
          </w:tcPr>
          <w:p w14:paraId="0D1A59F6" w14:textId="77777777" w:rsidR="0043698F" w:rsidRPr="009C3DB6" w:rsidRDefault="0043698F" w:rsidP="00267802">
            <w:pPr>
              <w:pStyle w:val="BodyText"/>
              <w:spacing w:after="0" w:line="240" w:lineRule="auto"/>
              <w:rPr>
                <w:rFonts w:ascii="Times New Roman" w:eastAsia="Times New Roman" w:hAnsi="Times New Roman" w:cs="Times New Roman"/>
                <w:b/>
              </w:rPr>
            </w:pPr>
            <w:r w:rsidRPr="009C3DB6">
              <w:rPr>
                <w:rFonts w:ascii="Times New Roman" w:eastAsia="Times New Roman" w:hAnsi="Times New Roman" w:cs="Times New Roman"/>
                <w:b/>
              </w:rPr>
              <w:t>4 years</w:t>
            </w:r>
          </w:p>
        </w:tc>
      </w:tr>
      <w:tr w:rsidR="0043698F" w:rsidRPr="00AA1C7A" w14:paraId="06890483" w14:textId="77777777" w:rsidTr="00267802">
        <w:tc>
          <w:tcPr>
            <w:tcW w:w="2187" w:type="dxa"/>
          </w:tcPr>
          <w:p w14:paraId="7D4C519E" w14:textId="77777777" w:rsidR="0043698F" w:rsidRPr="00AA1C7A" w:rsidRDefault="0043698F" w:rsidP="00267802">
            <w:pPr>
              <w:pStyle w:val="BodyText"/>
              <w:spacing w:after="0" w:line="240" w:lineRule="auto"/>
              <w:rPr>
                <w:rFonts w:ascii="Times New Roman" w:eastAsia="Times New Roman" w:hAnsi="Times New Roman" w:cs="Times New Roman"/>
                <w:sz w:val="20"/>
                <w:szCs w:val="20"/>
              </w:rPr>
            </w:pPr>
            <w:r w:rsidRPr="00AA1C7A">
              <w:rPr>
                <w:rFonts w:ascii="Times New Roman" w:eastAsia="Times New Roman" w:hAnsi="Times New Roman" w:cs="Times New Roman"/>
                <w:sz w:val="20"/>
                <w:szCs w:val="20"/>
              </w:rPr>
              <w:t>Albumin</w:t>
            </w:r>
            <w:r>
              <w:rPr>
                <w:rFonts w:ascii="Times New Roman" w:eastAsia="Times New Roman" w:hAnsi="Times New Roman" w:cs="Times New Roman"/>
                <w:sz w:val="20"/>
                <w:szCs w:val="20"/>
              </w:rPr>
              <w:t>,                          ref &lt;225mg/L</w:t>
            </w:r>
          </w:p>
        </w:tc>
        <w:tc>
          <w:tcPr>
            <w:tcW w:w="992" w:type="dxa"/>
          </w:tcPr>
          <w:p w14:paraId="73E41E58"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1970</w:t>
            </w:r>
          </w:p>
        </w:tc>
        <w:tc>
          <w:tcPr>
            <w:tcW w:w="1134" w:type="dxa"/>
          </w:tcPr>
          <w:p w14:paraId="116D113B"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1560</w:t>
            </w:r>
          </w:p>
        </w:tc>
        <w:tc>
          <w:tcPr>
            <w:tcW w:w="992" w:type="dxa"/>
          </w:tcPr>
          <w:p w14:paraId="203AB045"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866</w:t>
            </w:r>
          </w:p>
        </w:tc>
      </w:tr>
      <w:tr w:rsidR="0043698F" w:rsidRPr="00AA1C7A" w14:paraId="34C4BE3F" w14:textId="77777777" w:rsidTr="00267802">
        <w:tc>
          <w:tcPr>
            <w:tcW w:w="2187" w:type="dxa"/>
          </w:tcPr>
          <w:p w14:paraId="517EC6F8" w14:textId="77777777" w:rsidR="0043698F" w:rsidRPr="00AA1C7A" w:rsidRDefault="0043698F" w:rsidP="00267802">
            <w:pPr>
              <w:pStyle w:val="BodyText"/>
              <w:spacing w:after="0" w:line="240" w:lineRule="auto"/>
              <w:rPr>
                <w:rFonts w:ascii="Times New Roman" w:eastAsia="Times New Roman" w:hAnsi="Times New Roman" w:cs="Times New Roman"/>
                <w:sz w:val="20"/>
                <w:szCs w:val="20"/>
              </w:rPr>
            </w:pPr>
            <w:r w:rsidRPr="00AA1C7A">
              <w:rPr>
                <w:rFonts w:ascii="Times New Roman" w:eastAsia="Times New Roman" w:hAnsi="Times New Roman" w:cs="Times New Roman"/>
                <w:sz w:val="20"/>
                <w:szCs w:val="20"/>
              </w:rPr>
              <w:t>Albumin ratio (CSF/S)</w:t>
            </w:r>
            <w:r>
              <w:rPr>
                <w:rFonts w:ascii="Times New Roman" w:eastAsia="Times New Roman" w:hAnsi="Times New Roman" w:cs="Times New Roman"/>
                <w:sz w:val="20"/>
                <w:szCs w:val="20"/>
              </w:rPr>
              <w:t>,    ref &lt;6x10(-3)</w:t>
            </w:r>
          </w:p>
        </w:tc>
        <w:tc>
          <w:tcPr>
            <w:tcW w:w="992" w:type="dxa"/>
          </w:tcPr>
          <w:p w14:paraId="07A3E679"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60</w:t>
            </w:r>
          </w:p>
        </w:tc>
        <w:tc>
          <w:tcPr>
            <w:tcW w:w="1134" w:type="dxa"/>
          </w:tcPr>
          <w:p w14:paraId="35CD6349"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68</w:t>
            </w:r>
          </w:p>
        </w:tc>
        <w:tc>
          <w:tcPr>
            <w:tcW w:w="992" w:type="dxa"/>
          </w:tcPr>
          <w:p w14:paraId="2366AB42"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23</w:t>
            </w:r>
          </w:p>
        </w:tc>
      </w:tr>
      <w:tr w:rsidR="0043698F" w:rsidRPr="00AA1C7A" w14:paraId="7C1FA68D" w14:textId="77777777" w:rsidTr="00267802">
        <w:tc>
          <w:tcPr>
            <w:tcW w:w="2187" w:type="dxa"/>
          </w:tcPr>
          <w:p w14:paraId="7AC3445C" w14:textId="77777777" w:rsidR="0043698F" w:rsidRPr="00AA1C7A" w:rsidRDefault="0043698F" w:rsidP="00267802">
            <w:pPr>
              <w:pStyle w:val="BodyText"/>
              <w:spacing w:after="0" w:line="240" w:lineRule="auto"/>
              <w:rPr>
                <w:rFonts w:ascii="Times New Roman" w:eastAsia="Times New Roman" w:hAnsi="Times New Roman" w:cs="Times New Roman"/>
                <w:sz w:val="20"/>
                <w:szCs w:val="20"/>
              </w:rPr>
            </w:pPr>
            <w:r w:rsidRPr="00AA1C7A">
              <w:rPr>
                <w:rFonts w:ascii="Times New Roman" w:eastAsia="Times New Roman" w:hAnsi="Times New Roman" w:cs="Times New Roman"/>
                <w:sz w:val="20"/>
                <w:szCs w:val="20"/>
              </w:rPr>
              <w:t>Tau protein</w:t>
            </w:r>
            <w:r>
              <w:rPr>
                <w:rFonts w:ascii="Times New Roman" w:eastAsia="Times New Roman" w:hAnsi="Times New Roman" w:cs="Times New Roman"/>
                <w:sz w:val="20"/>
                <w:szCs w:val="20"/>
              </w:rPr>
              <w:t>,                     ref &lt;400ng/L</w:t>
            </w:r>
          </w:p>
        </w:tc>
        <w:tc>
          <w:tcPr>
            <w:tcW w:w="992" w:type="dxa"/>
          </w:tcPr>
          <w:p w14:paraId="30227695"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21400</w:t>
            </w:r>
          </w:p>
        </w:tc>
        <w:tc>
          <w:tcPr>
            <w:tcW w:w="1134" w:type="dxa"/>
          </w:tcPr>
          <w:p w14:paraId="352C0108"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7000</w:t>
            </w:r>
          </w:p>
        </w:tc>
        <w:tc>
          <w:tcPr>
            <w:tcW w:w="992" w:type="dxa"/>
          </w:tcPr>
          <w:p w14:paraId="74304DA5"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w:t>
            </w:r>
          </w:p>
        </w:tc>
      </w:tr>
      <w:tr w:rsidR="0043698F" w:rsidRPr="00AA1C7A" w14:paraId="3D3B398C" w14:textId="77777777" w:rsidTr="00267802">
        <w:tc>
          <w:tcPr>
            <w:tcW w:w="2187" w:type="dxa"/>
          </w:tcPr>
          <w:p w14:paraId="654579EA" w14:textId="77777777" w:rsidR="0043698F" w:rsidRPr="00AA1C7A" w:rsidRDefault="0043698F" w:rsidP="00267802">
            <w:pPr>
              <w:pStyle w:val="BodyText"/>
              <w:spacing w:after="0" w:line="240" w:lineRule="auto"/>
              <w:rPr>
                <w:rFonts w:ascii="Times New Roman" w:eastAsia="Times New Roman" w:hAnsi="Times New Roman" w:cs="Times New Roman"/>
                <w:sz w:val="20"/>
                <w:szCs w:val="20"/>
              </w:rPr>
            </w:pPr>
            <w:r w:rsidRPr="00AA1C7A">
              <w:rPr>
                <w:rFonts w:ascii="Times New Roman" w:eastAsia="Times New Roman" w:hAnsi="Times New Roman" w:cs="Times New Roman"/>
                <w:sz w:val="20"/>
                <w:szCs w:val="20"/>
              </w:rPr>
              <w:t>GFAP</w:t>
            </w:r>
            <w:r>
              <w:rPr>
                <w:rFonts w:ascii="Times New Roman" w:eastAsia="Times New Roman" w:hAnsi="Times New Roman" w:cs="Times New Roman"/>
                <w:sz w:val="20"/>
                <w:szCs w:val="20"/>
              </w:rPr>
              <w:t>,                              ref &lt;450ng/L</w:t>
            </w:r>
          </w:p>
        </w:tc>
        <w:tc>
          <w:tcPr>
            <w:tcW w:w="992" w:type="dxa"/>
          </w:tcPr>
          <w:p w14:paraId="3562E83D"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2247</w:t>
            </w:r>
          </w:p>
        </w:tc>
        <w:tc>
          <w:tcPr>
            <w:tcW w:w="1134" w:type="dxa"/>
          </w:tcPr>
          <w:p w14:paraId="2E744B05"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2890</w:t>
            </w:r>
          </w:p>
        </w:tc>
        <w:tc>
          <w:tcPr>
            <w:tcW w:w="992" w:type="dxa"/>
          </w:tcPr>
          <w:p w14:paraId="3E6ED702"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w:t>
            </w:r>
          </w:p>
        </w:tc>
      </w:tr>
      <w:tr w:rsidR="0043698F" w:rsidRPr="00AA1C7A" w14:paraId="302E2D41" w14:textId="77777777" w:rsidTr="00267802">
        <w:tc>
          <w:tcPr>
            <w:tcW w:w="2187" w:type="dxa"/>
          </w:tcPr>
          <w:p w14:paraId="241B9730" w14:textId="77777777" w:rsidR="0043698F" w:rsidRPr="00AA1C7A" w:rsidRDefault="0043698F" w:rsidP="00267802">
            <w:pPr>
              <w:pStyle w:val="BodyText"/>
              <w:spacing w:after="0" w:line="240" w:lineRule="auto"/>
              <w:rPr>
                <w:rFonts w:ascii="Times New Roman" w:eastAsia="Times New Roman" w:hAnsi="Times New Roman" w:cs="Times New Roman"/>
                <w:sz w:val="20"/>
                <w:szCs w:val="20"/>
              </w:rPr>
            </w:pPr>
            <w:r w:rsidRPr="00AA1C7A">
              <w:rPr>
                <w:rFonts w:ascii="Times New Roman" w:eastAsia="Times New Roman" w:hAnsi="Times New Roman" w:cs="Times New Roman"/>
                <w:sz w:val="20"/>
                <w:szCs w:val="20"/>
              </w:rPr>
              <w:t>NFL</w:t>
            </w:r>
            <w:r>
              <w:rPr>
                <w:rFonts w:ascii="Times New Roman" w:eastAsia="Times New Roman" w:hAnsi="Times New Roman" w:cs="Times New Roman"/>
                <w:sz w:val="20"/>
                <w:szCs w:val="20"/>
              </w:rPr>
              <w:t>,                                ref &lt;380ng/L</w:t>
            </w:r>
          </w:p>
        </w:tc>
        <w:tc>
          <w:tcPr>
            <w:tcW w:w="992" w:type="dxa"/>
          </w:tcPr>
          <w:p w14:paraId="5183D26B"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1590</w:t>
            </w:r>
          </w:p>
        </w:tc>
        <w:tc>
          <w:tcPr>
            <w:tcW w:w="1134" w:type="dxa"/>
          </w:tcPr>
          <w:p w14:paraId="492C45BC"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1360</w:t>
            </w:r>
          </w:p>
        </w:tc>
        <w:tc>
          <w:tcPr>
            <w:tcW w:w="992" w:type="dxa"/>
          </w:tcPr>
          <w:p w14:paraId="427C2898" w14:textId="77777777" w:rsidR="0043698F" w:rsidRPr="00EA67BD" w:rsidRDefault="0043698F" w:rsidP="00267802">
            <w:pPr>
              <w:pStyle w:val="BodyText"/>
              <w:spacing w:after="0" w:line="240" w:lineRule="auto"/>
              <w:rPr>
                <w:rFonts w:ascii="Times New Roman" w:eastAsia="Times New Roman" w:hAnsi="Times New Roman" w:cs="Times New Roman"/>
                <w:sz w:val="24"/>
                <w:szCs w:val="24"/>
              </w:rPr>
            </w:pPr>
            <w:r w:rsidRPr="00EA67BD">
              <w:rPr>
                <w:rFonts w:ascii="Times New Roman" w:eastAsia="Times New Roman" w:hAnsi="Times New Roman" w:cs="Times New Roman"/>
                <w:sz w:val="24"/>
                <w:szCs w:val="24"/>
              </w:rPr>
              <w:t>1270</w:t>
            </w:r>
          </w:p>
        </w:tc>
      </w:tr>
    </w:tbl>
    <w:p w14:paraId="768AEEE0" w14:textId="0FAD44C0" w:rsidR="0043698F" w:rsidRDefault="006D55FF" w:rsidP="0043698F">
      <w:pPr>
        <w:pStyle w:val="BodyText"/>
        <w:ind w:left="360"/>
        <w:rPr>
          <w:rFonts w:ascii="Times New Roman" w:eastAsia="Times New Roman" w:hAnsi="Times New Roman" w:cs="Times New Roman"/>
          <w:sz w:val="24"/>
          <w:szCs w:val="24"/>
        </w:rPr>
      </w:pPr>
      <w:r>
        <w:rPr>
          <w:rFonts w:ascii="Times New Roman" w:hAnsi="Times New Roman" w:cs="Times New Roman"/>
          <w:color w:val="auto"/>
          <w:sz w:val="24"/>
          <w:szCs w:val="24"/>
          <w:u w:color="FF0000"/>
          <w:lang w:val="en-US"/>
        </w:rPr>
        <w:t>T</w:t>
      </w:r>
      <w:r w:rsidRPr="00E30030">
        <w:rPr>
          <w:rFonts w:ascii="Times New Roman" w:hAnsi="Times New Roman" w:cs="Times New Roman"/>
          <w:color w:val="auto"/>
          <w:sz w:val="24"/>
          <w:szCs w:val="24"/>
          <w:u w:color="FF0000"/>
          <w:lang w:val="en-US"/>
        </w:rPr>
        <w:t>able</w:t>
      </w:r>
      <w:r>
        <w:rPr>
          <w:rFonts w:ascii="Times New Roman" w:hAnsi="Times New Roman" w:cs="Times New Roman"/>
          <w:color w:val="auto"/>
          <w:sz w:val="24"/>
          <w:szCs w:val="24"/>
          <w:u w:color="FF0000"/>
          <w:lang w:val="en-US"/>
        </w:rPr>
        <w:t xml:space="preserve"> e-</w:t>
      </w:r>
      <w:r w:rsidRPr="00E30030">
        <w:rPr>
          <w:rFonts w:ascii="Times New Roman" w:hAnsi="Times New Roman" w:cs="Times New Roman"/>
          <w:color w:val="auto"/>
          <w:sz w:val="24"/>
          <w:szCs w:val="24"/>
          <w:u w:color="FF0000"/>
          <w:lang w:val="en-US"/>
        </w:rPr>
        <w:t>1</w:t>
      </w:r>
      <w:r>
        <w:rPr>
          <w:rFonts w:ascii="Times New Roman" w:hAnsi="Times New Roman" w:cs="Times New Roman"/>
          <w:color w:val="auto"/>
          <w:sz w:val="24"/>
          <w:szCs w:val="24"/>
          <w:u w:color="FF0000"/>
          <w:lang w:val="en-US"/>
        </w:rPr>
        <w:t xml:space="preserve">. </w:t>
      </w:r>
      <w:r>
        <w:rPr>
          <w:rFonts w:ascii="Times New Roman" w:eastAsia="Times New Roman" w:hAnsi="Times New Roman" w:cs="Times New Roman"/>
          <w:sz w:val="24"/>
          <w:szCs w:val="24"/>
        </w:rPr>
        <w:t>CSF findings of t</w:t>
      </w:r>
      <w:r w:rsidRPr="006D55FF">
        <w:rPr>
          <w:rFonts w:ascii="Times New Roman" w:eastAsia="Times New Roman" w:hAnsi="Times New Roman" w:cs="Times New Roman"/>
          <w:sz w:val="24"/>
          <w:szCs w:val="24"/>
        </w:rPr>
        <w:t>he proband (II:3)</w:t>
      </w:r>
      <w:r>
        <w:rPr>
          <w:rFonts w:ascii="Times New Roman" w:eastAsia="Times New Roman" w:hAnsi="Times New Roman" w:cs="Times New Roman"/>
          <w:sz w:val="24"/>
          <w:szCs w:val="24"/>
        </w:rPr>
        <w:t xml:space="preserve"> at different ages. </w:t>
      </w:r>
      <w:r w:rsidR="0043698F">
        <w:rPr>
          <w:rFonts w:ascii="Times New Roman" w:eastAsia="Times New Roman" w:hAnsi="Times New Roman" w:cs="Times New Roman"/>
          <w:sz w:val="24"/>
          <w:szCs w:val="24"/>
        </w:rPr>
        <w:t xml:space="preserve">CSF = cerebrospinal fluid, GFAP = </w:t>
      </w:r>
      <w:bookmarkStart w:id="3" w:name="_Hlk34656131"/>
      <w:r w:rsidR="0043698F">
        <w:rPr>
          <w:rFonts w:ascii="Times New Roman" w:eastAsia="Times New Roman" w:hAnsi="Times New Roman" w:cs="Times New Roman"/>
          <w:sz w:val="24"/>
          <w:szCs w:val="24"/>
        </w:rPr>
        <w:t>glial fibrillary acidic protein</w:t>
      </w:r>
      <w:bookmarkEnd w:id="3"/>
      <w:r w:rsidR="0043698F">
        <w:rPr>
          <w:rFonts w:ascii="Times New Roman" w:eastAsia="Times New Roman" w:hAnsi="Times New Roman" w:cs="Times New Roman"/>
          <w:sz w:val="24"/>
          <w:szCs w:val="24"/>
        </w:rPr>
        <w:t>, NFL = neurofilament light protein.</w:t>
      </w:r>
    </w:p>
    <w:p w14:paraId="4AFB0687" w14:textId="77777777" w:rsidR="0043698F" w:rsidRDefault="0043698F" w:rsidP="0043698F">
      <w:pPr>
        <w:pStyle w:val="BodyText"/>
        <w:ind w:left="357"/>
        <w:rPr>
          <w:rFonts w:ascii="Times New Roman" w:eastAsia="Times New Roman" w:hAnsi="Times New Roman" w:cs="Times New Roman"/>
          <w:sz w:val="24"/>
          <w:szCs w:val="24"/>
        </w:rPr>
      </w:pPr>
    </w:p>
    <w:p w14:paraId="1B364C53" w14:textId="77777777" w:rsidR="0043698F" w:rsidRPr="00163A70" w:rsidRDefault="0043698F" w:rsidP="0043698F">
      <w:pPr>
        <w:pStyle w:val="BodyText"/>
        <w:rPr>
          <w:rFonts w:ascii="Times New Roman" w:hAnsi="Times New Roman" w:cs="Times New Roman"/>
          <w:color w:val="000000" w:themeColor="text1"/>
          <w:sz w:val="24"/>
          <w:szCs w:val="24"/>
        </w:rPr>
      </w:pPr>
    </w:p>
    <w:p w14:paraId="0D1AD97B" w14:textId="77777777" w:rsidR="0043698F" w:rsidRPr="0043698F" w:rsidRDefault="0043698F" w:rsidP="0043698F">
      <w:pPr>
        <w:rPr>
          <w:color w:val="000000" w:themeColor="text1"/>
          <w:u w:color="000000"/>
          <w:lang w:eastAsia="sv-SE"/>
        </w:rPr>
      </w:pPr>
      <w:r>
        <w:rPr>
          <w:color w:val="000000" w:themeColor="text1"/>
        </w:rPr>
        <w:br w:type="page"/>
      </w:r>
    </w:p>
    <w:p w14:paraId="2AABB79F" w14:textId="4BB84725" w:rsidR="001D6669" w:rsidRPr="0093402F" w:rsidRDefault="006872AA" w:rsidP="001D6669">
      <w:pPr>
        <w:pStyle w:val="BodyText"/>
        <w:rPr>
          <w:rFonts w:ascii="Times New Roman" w:hAnsi="Times New Roman" w:cs="Times New Roman"/>
          <w:sz w:val="24"/>
          <w:szCs w:val="24"/>
        </w:rPr>
      </w:pPr>
      <w:bookmarkStart w:id="4" w:name="_Hlk40563781"/>
      <w:r>
        <w:rPr>
          <w:rFonts w:ascii="Times New Roman" w:hAnsi="Times New Roman" w:cs="Times New Roman"/>
          <w:color w:val="auto"/>
          <w:sz w:val="24"/>
          <w:szCs w:val="24"/>
          <w:lang w:val="en-US"/>
        </w:rPr>
        <w:lastRenderedPageBreak/>
        <w:t>F</w:t>
      </w:r>
      <w:r w:rsidR="006D55FF">
        <w:rPr>
          <w:rFonts w:ascii="Times New Roman" w:hAnsi="Times New Roman" w:cs="Times New Roman"/>
          <w:color w:val="auto"/>
          <w:sz w:val="24"/>
          <w:szCs w:val="24"/>
          <w:lang w:val="en-US"/>
        </w:rPr>
        <w:t>igure e-1</w:t>
      </w:r>
      <w:r w:rsidR="006D55FF" w:rsidRPr="00E30030">
        <w:rPr>
          <w:rFonts w:ascii="Times New Roman" w:hAnsi="Times New Roman" w:cs="Times New Roman"/>
          <w:color w:val="auto"/>
          <w:sz w:val="24"/>
          <w:szCs w:val="24"/>
          <w:lang w:val="en-US"/>
        </w:rPr>
        <w:t>A-</w:t>
      </w:r>
      <w:r w:rsidR="003162A3" w:rsidRPr="006872AA">
        <w:rPr>
          <w:rFonts w:ascii="Times New Roman" w:hAnsi="Times New Roman" w:cs="Times New Roman"/>
          <w:color w:val="auto"/>
          <w:sz w:val="24"/>
          <w:szCs w:val="24"/>
          <w:lang w:val="en-US"/>
        </w:rPr>
        <w:t>D</w:t>
      </w:r>
      <w:r w:rsidR="006D55FF">
        <w:rPr>
          <w:rFonts w:ascii="Times New Roman" w:hAnsi="Times New Roman" w:cs="Times New Roman"/>
          <w:sz w:val="24"/>
          <w:szCs w:val="24"/>
          <w:lang w:val="en-US"/>
        </w:rPr>
        <w:t xml:space="preserve">. </w:t>
      </w:r>
      <w:bookmarkEnd w:id="4"/>
      <w:r w:rsidR="001D6669">
        <w:rPr>
          <w:rFonts w:ascii="Times New Roman" w:hAnsi="Times New Roman" w:cs="Times New Roman"/>
          <w:sz w:val="24"/>
          <w:szCs w:val="24"/>
          <w:lang w:val="en-US"/>
        </w:rPr>
        <w:t xml:space="preserve">Magnetic resonance spectroscopy (MRS) of the </w:t>
      </w:r>
      <w:r w:rsidR="006D55FF">
        <w:rPr>
          <w:rFonts w:ascii="Times New Roman" w:hAnsi="Times New Roman" w:cs="Times New Roman"/>
          <w:sz w:val="24"/>
          <w:szCs w:val="24"/>
          <w:lang w:val="en-US"/>
        </w:rPr>
        <w:t>proband</w:t>
      </w:r>
      <w:r w:rsidR="001D6669">
        <w:rPr>
          <w:rFonts w:ascii="Times New Roman" w:hAnsi="Times New Roman" w:cs="Times New Roman"/>
          <w:sz w:val="24"/>
          <w:szCs w:val="24"/>
          <w:lang w:val="en-US"/>
        </w:rPr>
        <w:t xml:space="preserve"> (II:3)</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1D6669" w14:paraId="17ABB3AB" w14:textId="77777777" w:rsidTr="006849BE">
        <w:trPr>
          <w:trHeight w:val="2733"/>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0BE8" w14:textId="77777777" w:rsidR="001D6669" w:rsidRDefault="001D6669" w:rsidP="006849BE">
            <w:pPr>
              <w:pStyle w:val="BodyText"/>
              <w:jc w:val="center"/>
            </w:pPr>
            <w:r>
              <w:rPr>
                <w:noProof/>
                <w:sz w:val="24"/>
                <w:szCs w:val="24"/>
                <w:lang w:val="sv-SE"/>
              </w:rPr>
              <mc:AlternateContent>
                <mc:Choice Requires="wps">
                  <w:drawing>
                    <wp:anchor distT="0" distB="0" distL="0" distR="0" simplePos="0" relativeHeight="251662336" behindDoc="0" locked="0" layoutInCell="1" allowOverlap="1" wp14:anchorId="61FAA420" wp14:editId="677752A3">
                      <wp:simplePos x="0" y="0"/>
                      <wp:positionH relativeFrom="page">
                        <wp:posOffset>2672080</wp:posOffset>
                      </wp:positionH>
                      <wp:positionV relativeFrom="line">
                        <wp:posOffset>1622514</wp:posOffset>
                      </wp:positionV>
                      <wp:extent cx="250825" cy="282575"/>
                      <wp:effectExtent l="0" t="0" r="0" b="0"/>
                      <wp:wrapNone/>
                      <wp:docPr id="3" name="officeArt object" descr="Rektangel 210"/>
                      <wp:cNvGraphicFramePr/>
                      <a:graphic xmlns:a="http://schemas.openxmlformats.org/drawingml/2006/main">
                        <a:graphicData uri="http://schemas.microsoft.com/office/word/2010/wordprocessingShape">
                          <wps:wsp>
                            <wps:cNvSpPr/>
                            <wps:spPr>
                              <a:xfrm>
                                <a:off x="0" y="0"/>
                                <a:ext cx="250825" cy="282575"/>
                              </a:xfrm>
                              <a:prstGeom prst="rect">
                                <a:avLst/>
                              </a:prstGeom>
                              <a:solidFill>
                                <a:srgbClr val="4472C4">
                                  <a:alpha val="0"/>
                                </a:srgbClr>
                              </a:solidFill>
                              <a:ln w="12700" cap="flat">
                                <a:noFill/>
                                <a:miter lim="400000"/>
                              </a:ln>
                              <a:effectLst/>
                            </wps:spPr>
                            <wps:txbx>
                              <w:txbxContent>
                                <w:p w14:paraId="691C0B76" w14:textId="77777777" w:rsidR="001D6669" w:rsidRPr="006C31A1" w:rsidRDefault="001D6669" w:rsidP="001D6669">
                                  <w:pPr>
                                    <w:pStyle w:val="BodyText"/>
                                    <w:spacing w:after="0"/>
                                    <w:jc w:val="center"/>
                                    <w:rPr>
                                      <w:lang w:val="sv-SE"/>
                                    </w:rPr>
                                  </w:pPr>
                                  <w:r>
                                    <w:rPr>
                                      <w:lang w:val="sv-SE"/>
                                    </w:rPr>
                                    <w:t>A</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61FAA420" id="officeArt object" o:spid="_x0000_s1026" alt="Rektangel 210" style="position:absolute;left:0;text-align:left;margin-left:210.4pt;margin-top:127.75pt;width:19.75pt;height:2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" fillcolor="#4472c4" stroked="f" strokeweight="1pt">
                      <v:fill opacity="0"/>
                      <v:stroke miterlimit="4"/>
                      <v:textbox inset="1.27mm,1.27mm,1.27mm,1.27mm">
                        <w:txbxContent>
                          <w:p w14:paraId="691C0B76" w14:textId="77777777" w:rsidR="001D6669" w:rsidRPr="006C31A1" w:rsidRDefault="001D6669" w:rsidP="001D6669">
                            <w:pPr>
                              <w:pStyle w:val="BodyText"/>
                              <w:spacing w:after="0"/>
                              <w:jc w:val="center"/>
                              <w:rPr>
                                <w:lang w:val="sv-SE"/>
                              </w:rPr>
                            </w:pPr>
                            <w:r>
                              <w:rPr>
                                <w:lang w:val="sv-SE"/>
                              </w:rPr>
                              <w:t>A</w:t>
                            </w:r>
                          </w:p>
                        </w:txbxContent>
                      </v:textbox>
                      <w10:wrap anchorx="page" anchory="line"/>
                    </v:rect>
                  </w:pict>
                </mc:Fallback>
              </mc:AlternateContent>
            </w:r>
            <w:r>
              <w:rPr>
                <w:noProof/>
                <w:lang w:val="sv-SE"/>
              </w:rPr>
              <w:drawing>
                <wp:inline distT="0" distB="0" distL="0" distR="0" wp14:anchorId="67AA3072" wp14:editId="07118193">
                  <wp:extent cx="2484847" cy="1691546"/>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6.png"/>
                          <pic:cNvPicPr>
                            <a:picLocks noChangeAspect="1"/>
                          </pic:cNvPicPr>
                        </pic:nvPicPr>
                        <pic:blipFill>
                          <a:blip r:embed="rId4"/>
                          <a:srcRect l="922" r="449"/>
                          <a:stretch>
                            <a:fillRect/>
                          </a:stretch>
                        </pic:blipFill>
                        <pic:spPr>
                          <a:xfrm>
                            <a:off x="0" y="0"/>
                            <a:ext cx="2484847" cy="1691546"/>
                          </a:xfrm>
                          <a:prstGeom prst="rect">
                            <a:avLst/>
                          </a:prstGeom>
                          <a:ln w="12700" cap="flat">
                            <a:noFill/>
                            <a:miter lim="400000"/>
                          </a:ln>
                          <a:effectLst/>
                        </pic:spPr>
                      </pic:pic>
                    </a:graphicData>
                  </a:graphic>
                </wp:inline>
              </w:drawing>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7F26" w14:textId="77777777" w:rsidR="001D6669" w:rsidRDefault="001D6669" w:rsidP="006849BE">
            <w:pPr>
              <w:pStyle w:val="BodyText"/>
              <w:spacing w:after="0" w:line="240" w:lineRule="auto"/>
              <w:jc w:val="center"/>
            </w:pPr>
            <w:r>
              <w:rPr>
                <w:noProof/>
                <w:lang w:val="sv-SE"/>
              </w:rPr>
              <w:drawing>
                <wp:inline distT="0" distB="0" distL="0" distR="0" wp14:anchorId="45A4970E" wp14:editId="5643C5D5">
                  <wp:extent cx="2443934" cy="1648281"/>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7.png"/>
                          <pic:cNvPicPr>
                            <a:picLocks noChangeAspect="1"/>
                          </pic:cNvPicPr>
                        </pic:nvPicPr>
                        <pic:blipFill>
                          <a:blip r:embed="rId5"/>
                          <a:srcRect l="2076" t="2035" r="875" b="1638"/>
                          <a:stretch>
                            <a:fillRect/>
                          </a:stretch>
                        </pic:blipFill>
                        <pic:spPr>
                          <a:xfrm>
                            <a:off x="0" y="0"/>
                            <a:ext cx="2443934" cy="1648281"/>
                          </a:xfrm>
                          <a:prstGeom prst="rect">
                            <a:avLst/>
                          </a:prstGeom>
                          <a:ln w="12700" cap="flat">
                            <a:noFill/>
                            <a:miter lim="400000"/>
                          </a:ln>
                          <a:effectLst/>
                        </pic:spPr>
                      </pic:pic>
                    </a:graphicData>
                  </a:graphic>
                </wp:inline>
              </w:drawing>
            </w:r>
          </w:p>
        </w:tc>
      </w:tr>
      <w:tr w:rsidR="001D6669" w14:paraId="77F08A68" w14:textId="77777777" w:rsidTr="006849BE">
        <w:trPr>
          <w:trHeight w:val="292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58F3" w14:textId="77777777" w:rsidR="001D6669" w:rsidRDefault="001D6669" w:rsidP="006849BE">
            <w:pPr>
              <w:pStyle w:val="BodyText"/>
              <w:spacing w:after="0" w:line="240" w:lineRule="auto"/>
            </w:pPr>
            <w:r>
              <w:rPr>
                <w:noProof/>
                <w:sz w:val="24"/>
                <w:szCs w:val="24"/>
                <w:lang w:val="sv-SE"/>
              </w:rPr>
              <mc:AlternateContent>
                <mc:Choice Requires="wps">
                  <w:drawing>
                    <wp:anchor distT="0" distB="0" distL="0" distR="0" simplePos="0" relativeHeight="251661312" behindDoc="0" locked="0" layoutInCell="1" allowOverlap="1" wp14:anchorId="01095CBE" wp14:editId="5F3788C3">
                      <wp:simplePos x="0" y="0"/>
                      <wp:positionH relativeFrom="page">
                        <wp:posOffset>2662546</wp:posOffset>
                      </wp:positionH>
                      <wp:positionV relativeFrom="line">
                        <wp:posOffset>1661661</wp:posOffset>
                      </wp:positionV>
                      <wp:extent cx="251138" cy="283031"/>
                      <wp:effectExtent l="0" t="0" r="0" b="0"/>
                      <wp:wrapNone/>
                      <wp:docPr id="2" name="officeArt object" descr="Rektangel 210"/>
                      <wp:cNvGraphicFramePr/>
                      <a:graphic xmlns:a="http://schemas.openxmlformats.org/drawingml/2006/main">
                        <a:graphicData uri="http://schemas.microsoft.com/office/word/2010/wordprocessingShape">
                          <wps:wsp>
                            <wps:cNvSpPr/>
                            <wps:spPr>
                              <a:xfrm>
                                <a:off x="0" y="0"/>
                                <a:ext cx="251138" cy="283031"/>
                              </a:xfrm>
                              <a:prstGeom prst="rect">
                                <a:avLst/>
                              </a:prstGeom>
                              <a:solidFill>
                                <a:srgbClr val="4472C4">
                                  <a:alpha val="0"/>
                                </a:srgbClr>
                              </a:solidFill>
                              <a:ln w="12700" cap="flat">
                                <a:noFill/>
                                <a:miter lim="400000"/>
                              </a:ln>
                              <a:effectLst/>
                            </wps:spPr>
                            <wps:txbx>
                              <w:txbxContent>
                                <w:p w14:paraId="72D16007" w14:textId="77777777" w:rsidR="001D6669" w:rsidRPr="006C31A1" w:rsidRDefault="001D6669" w:rsidP="001D6669">
                                  <w:pPr>
                                    <w:pStyle w:val="BodyText"/>
                                    <w:spacing w:after="0"/>
                                    <w:jc w:val="center"/>
                                    <w:rPr>
                                      <w:lang w:val="sv-SE"/>
                                    </w:rPr>
                                  </w:pPr>
                                  <w:r>
                                    <w:rPr>
                                      <w:lang w:val="sv-SE"/>
                                    </w:rPr>
                                    <w:t>C</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01095CBE" id="_x0000_s1027" alt="Rektangel 210" style="position:absolute;margin-left:209.65pt;margin-top:130.85pt;width:19.75pt;height:22.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" fillcolor="#4472c4" stroked="f" strokeweight="1pt">
                      <v:fill opacity="0"/>
                      <v:stroke miterlimit="4"/>
                      <v:textbox inset="1.27mm,1.27mm,1.27mm,1.27mm">
                        <w:txbxContent>
                          <w:p w14:paraId="72D16007" w14:textId="77777777" w:rsidR="001D6669" w:rsidRPr="006C31A1" w:rsidRDefault="001D6669" w:rsidP="001D6669">
                            <w:pPr>
                              <w:pStyle w:val="BodyText"/>
                              <w:spacing w:after="0"/>
                              <w:jc w:val="center"/>
                              <w:rPr>
                                <w:lang w:val="sv-SE"/>
                              </w:rPr>
                            </w:pPr>
                            <w:r>
                              <w:rPr>
                                <w:lang w:val="sv-SE"/>
                              </w:rPr>
                              <w:t>C</w:t>
                            </w:r>
                          </w:p>
                        </w:txbxContent>
                      </v:textbox>
                      <w10:wrap anchorx="page" anchory="line"/>
                    </v:rect>
                  </w:pict>
                </mc:Fallback>
              </mc:AlternateContent>
            </w:r>
            <w:r>
              <w:rPr>
                <w:noProof/>
                <w:lang w:val="sv-SE"/>
              </w:rPr>
              <w:drawing>
                <wp:inline distT="0" distB="0" distL="0" distR="0" wp14:anchorId="70869354" wp14:editId="75CEF7CC">
                  <wp:extent cx="2490591" cy="181165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8.png"/>
                          <pic:cNvPicPr>
                            <a:picLocks noChangeAspect="1"/>
                          </pic:cNvPicPr>
                        </pic:nvPicPr>
                        <pic:blipFill>
                          <a:blip r:embed="rId6"/>
                          <a:srcRect l="1120" r="1"/>
                          <a:stretch>
                            <a:fillRect/>
                          </a:stretch>
                        </pic:blipFill>
                        <pic:spPr>
                          <a:xfrm>
                            <a:off x="0" y="0"/>
                            <a:ext cx="2490591" cy="1811655"/>
                          </a:xfrm>
                          <a:prstGeom prst="rect">
                            <a:avLst/>
                          </a:prstGeom>
                          <a:ln w="12700" cap="flat">
                            <a:noFill/>
                            <a:miter lim="400000"/>
                          </a:ln>
                          <a:effectLst/>
                        </pic:spPr>
                      </pic:pic>
                    </a:graphicData>
                  </a:graphic>
                </wp:inline>
              </w:drawing>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341A" w14:textId="77777777" w:rsidR="001D6669" w:rsidRDefault="001D6669" w:rsidP="006849BE">
            <w:pPr>
              <w:pStyle w:val="BodyText"/>
              <w:spacing w:after="0" w:line="240" w:lineRule="auto"/>
              <w:jc w:val="center"/>
            </w:pPr>
            <w:r>
              <w:rPr>
                <w:noProof/>
                <w:sz w:val="24"/>
                <w:szCs w:val="24"/>
                <w:lang w:val="sv-SE"/>
              </w:rPr>
              <mc:AlternateContent>
                <mc:Choice Requires="wps">
                  <w:drawing>
                    <wp:anchor distT="0" distB="0" distL="0" distR="0" simplePos="0" relativeHeight="251660288" behindDoc="0" locked="0" layoutInCell="1" allowOverlap="1" wp14:anchorId="200537BC" wp14:editId="0337ED0F">
                      <wp:simplePos x="0" y="0"/>
                      <wp:positionH relativeFrom="page">
                        <wp:posOffset>2663190</wp:posOffset>
                      </wp:positionH>
                      <wp:positionV relativeFrom="line">
                        <wp:posOffset>1665694</wp:posOffset>
                      </wp:positionV>
                      <wp:extent cx="250825" cy="282575"/>
                      <wp:effectExtent l="0" t="0" r="0" b="0"/>
                      <wp:wrapNone/>
                      <wp:docPr id="1" name="officeArt object" descr="Rektangel 210"/>
                      <wp:cNvGraphicFramePr/>
                      <a:graphic xmlns:a="http://schemas.openxmlformats.org/drawingml/2006/main">
                        <a:graphicData uri="http://schemas.microsoft.com/office/word/2010/wordprocessingShape">
                          <wps:wsp>
                            <wps:cNvSpPr/>
                            <wps:spPr>
                              <a:xfrm>
                                <a:off x="0" y="0"/>
                                <a:ext cx="250825" cy="282575"/>
                              </a:xfrm>
                              <a:prstGeom prst="rect">
                                <a:avLst/>
                              </a:prstGeom>
                              <a:solidFill>
                                <a:srgbClr val="4472C4">
                                  <a:alpha val="0"/>
                                </a:srgbClr>
                              </a:solidFill>
                              <a:ln w="12700" cap="flat">
                                <a:noFill/>
                                <a:miter lim="400000"/>
                              </a:ln>
                              <a:effectLst/>
                            </wps:spPr>
                            <wps:txbx>
                              <w:txbxContent>
                                <w:p w14:paraId="5E4D78C5" w14:textId="77777777" w:rsidR="001D6669" w:rsidRPr="006C31A1" w:rsidRDefault="001D6669" w:rsidP="001D6669">
                                  <w:pPr>
                                    <w:pStyle w:val="BodyText"/>
                                    <w:spacing w:after="0"/>
                                    <w:jc w:val="center"/>
                                    <w:rPr>
                                      <w:lang w:val="sv-SE"/>
                                    </w:rPr>
                                  </w:pPr>
                                  <w:r>
                                    <w:rPr>
                                      <w:lang w:val="sv-SE"/>
                                    </w:rPr>
                                    <w:t>D</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200537BC" id="_x0000_s1028" alt="Rektangel 210" style="position:absolute;left:0;text-align:left;margin-left:209.7pt;margin-top:131.15pt;width:19.75pt;height:2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" fillcolor="#4472c4" stroked="f" strokeweight="1pt">
                      <v:fill opacity="0"/>
                      <v:stroke miterlimit="4"/>
                      <v:textbox inset="1.27mm,1.27mm,1.27mm,1.27mm">
                        <w:txbxContent>
                          <w:p w14:paraId="5E4D78C5" w14:textId="77777777" w:rsidR="001D6669" w:rsidRPr="006C31A1" w:rsidRDefault="001D6669" w:rsidP="001D6669">
                            <w:pPr>
                              <w:pStyle w:val="BodyText"/>
                              <w:spacing w:after="0"/>
                              <w:jc w:val="center"/>
                              <w:rPr>
                                <w:lang w:val="sv-SE"/>
                              </w:rPr>
                            </w:pPr>
                            <w:r>
                              <w:rPr>
                                <w:lang w:val="sv-SE"/>
                              </w:rPr>
                              <w:t>D</w:t>
                            </w:r>
                          </w:p>
                        </w:txbxContent>
                      </v:textbox>
                      <w10:wrap anchorx="page" anchory="line"/>
                    </v:rect>
                  </w:pict>
                </mc:Fallback>
              </mc:AlternateContent>
            </w:r>
            <w:r>
              <w:rPr>
                <w:noProof/>
                <w:sz w:val="24"/>
                <w:szCs w:val="24"/>
                <w:lang w:val="sv-SE"/>
              </w:rPr>
              <mc:AlternateContent>
                <mc:Choice Requires="wps">
                  <w:drawing>
                    <wp:anchor distT="0" distB="0" distL="0" distR="0" simplePos="0" relativeHeight="251659264" behindDoc="0" locked="0" layoutInCell="1" allowOverlap="1" wp14:anchorId="138E100D" wp14:editId="4C0A6DA9">
                      <wp:simplePos x="0" y="0"/>
                      <wp:positionH relativeFrom="page">
                        <wp:posOffset>2671168</wp:posOffset>
                      </wp:positionH>
                      <wp:positionV relativeFrom="line">
                        <wp:posOffset>-308020</wp:posOffset>
                      </wp:positionV>
                      <wp:extent cx="251138" cy="283031"/>
                      <wp:effectExtent l="0" t="0" r="0" b="0"/>
                      <wp:wrapNone/>
                      <wp:docPr id="1073741840" name="officeArt object" descr="Rektangel 210"/>
                      <wp:cNvGraphicFramePr/>
                      <a:graphic xmlns:a="http://schemas.openxmlformats.org/drawingml/2006/main">
                        <a:graphicData uri="http://schemas.microsoft.com/office/word/2010/wordprocessingShape">
                          <wps:wsp>
                            <wps:cNvSpPr/>
                            <wps:spPr>
                              <a:xfrm>
                                <a:off x="0" y="0"/>
                                <a:ext cx="251138" cy="283031"/>
                              </a:xfrm>
                              <a:prstGeom prst="rect">
                                <a:avLst/>
                              </a:prstGeom>
                              <a:solidFill>
                                <a:schemeClr val="accent1">
                                  <a:alpha val="0"/>
                                </a:schemeClr>
                              </a:solidFill>
                              <a:ln w="12700" cap="flat">
                                <a:noFill/>
                                <a:miter lim="400000"/>
                              </a:ln>
                              <a:effectLst/>
                            </wps:spPr>
                            <wps:txbx>
                              <w:txbxContent>
                                <w:p w14:paraId="0CD74AFA" w14:textId="77777777" w:rsidR="001D6669" w:rsidRDefault="001D6669" w:rsidP="001D6669">
                                  <w:pPr>
                                    <w:pStyle w:val="BodyText"/>
                                    <w:spacing w:after="0"/>
                                    <w:jc w:val="center"/>
                                  </w:pPr>
                                  <w:r>
                                    <w:t>B</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138E100D" id="_x0000_s1029" alt="Rektangel 210" style="position:absolute;left:0;text-align:left;margin-left:210.35pt;margin-top:-24.25pt;width:19.75pt;height:2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" fillcolor="#4f81bd [3204]" stroked="f" strokeweight="1pt">
                      <v:fill opacity="0"/>
                      <v:stroke miterlimit="4"/>
                      <v:textbox inset="1.27mm,1.27mm,1.27mm,1.27mm">
                        <w:txbxContent>
                          <w:p w14:paraId="0CD74AFA" w14:textId="77777777" w:rsidR="001D6669" w:rsidRDefault="001D6669" w:rsidP="001D6669">
                            <w:pPr>
                              <w:pStyle w:val="BodyText"/>
                              <w:spacing w:after="0"/>
                              <w:jc w:val="center"/>
                            </w:pPr>
                            <w:r>
                              <w:t>B</w:t>
                            </w:r>
                          </w:p>
                        </w:txbxContent>
                      </v:textbox>
                      <w10:wrap anchorx="page" anchory="line"/>
                    </v:rect>
                  </w:pict>
                </mc:Fallback>
              </mc:AlternateContent>
            </w:r>
            <w:r>
              <w:rPr>
                <w:noProof/>
                <w:lang w:val="sv-SE"/>
              </w:rPr>
              <w:drawing>
                <wp:inline distT="0" distB="0" distL="0" distR="0" wp14:anchorId="471DB9F2" wp14:editId="5A7352AD">
                  <wp:extent cx="1346130" cy="15480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9.png"/>
                          <pic:cNvPicPr>
                            <a:picLocks noChangeAspect="1"/>
                          </pic:cNvPicPr>
                        </pic:nvPicPr>
                        <pic:blipFill>
                          <a:blip r:embed="rId7"/>
                          <a:srcRect t="7001" b="2280"/>
                          <a:stretch>
                            <a:fillRect/>
                          </a:stretch>
                        </pic:blipFill>
                        <pic:spPr>
                          <a:xfrm>
                            <a:off x="0" y="0"/>
                            <a:ext cx="1346130" cy="1548000"/>
                          </a:xfrm>
                          <a:prstGeom prst="rect">
                            <a:avLst/>
                          </a:prstGeom>
                          <a:ln w="12700" cap="flat">
                            <a:noFill/>
                            <a:miter lim="400000"/>
                          </a:ln>
                          <a:effectLst/>
                        </pic:spPr>
                      </pic:pic>
                    </a:graphicData>
                  </a:graphic>
                </wp:inline>
              </w:drawing>
            </w:r>
            <w:r>
              <w:rPr>
                <w:noProof/>
                <w:lang w:val="sv-SE"/>
              </w:rPr>
              <w:drawing>
                <wp:inline distT="0" distB="0" distL="0" distR="0" wp14:anchorId="1537A7EB" wp14:editId="13319985">
                  <wp:extent cx="1302190" cy="15480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0.png"/>
                          <pic:cNvPicPr>
                            <a:picLocks noChangeAspect="1"/>
                          </pic:cNvPicPr>
                        </pic:nvPicPr>
                        <pic:blipFill>
                          <a:blip r:embed="rId8"/>
                          <a:srcRect t="8815" r="4820" b="4148"/>
                          <a:stretch>
                            <a:fillRect/>
                          </a:stretch>
                        </pic:blipFill>
                        <pic:spPr>
                          <a:xfrm>
                            <a:off x="0" y="0"/>
                            <a:ext cx="1302190" cy="1548000"/>
                          </a:xfrm>
                          <a:prstGeom prst="rect">
                            <a:avLst/>
                          </a:prstGeom>
                          <a:ln w="12700" cap="flat">
                            <a:noFill/>
                            <a:miter lim="400000"/>
                          </a:ln>
                          <a:effectLst/>
                        </pic:spPr>
                      </pic:pic>
                    </a:graphicData>
                  </a:graphic>
                </wp:inline>
              </w:drawing>
            </w:r>
          </w:p>
        </w:tc>
      </w:tr>
    </w:tbl>
    <w:p w14:paraId="42AD0AED" w14:textId="77777777" w:rsidR="001D6669" w:rsidRDefault="001D6669" w:rsidP="0043698F">
      <w:pPr>
        <w:pStyle w:val="BodyText"/>
        <w:rPr>
          <w:rFonts w:ascii="Times New Roman" w:hAnsi="Times New Roman" w:cs="Times New Roman"/>
          <w:sz w:val="24"/>
          <w:szCs w:val="24"/>
          <w:lang w:val="en-US"/>
        </w:rPr>
      </w:pPr>
    </w:p>
    <w:p w14:paraId="11936C18" w14:textId="100F5612" w:rsidR="00C17772" w:rsidRDefault="003162A3" w:rsidP="00C17772">
      <w:pPr>
        <w:pStyle w:val="BodyText"/>
        <w:rPr>
          <w:rFonts w:ascii="Times New Roman" w:hAnsi="Times New Roman" w:cs="Times New Roman"/>
          <w:sz w:val="24"/>
          <w:szCs w:val="24"/>
          <w:lang w:val="en-US"/>
        </w:rPr>
      </w:pPr>
      <w:r w:rsidRPr="006872AA">
        <w:rPr>
          <w:rFonts w:ascii="Times New Roman" w:hAnsi="Times New Roman" w:cs="Times New Roman"/>
          <w:color w:val="auto"/>
          <w:sz w:val="24"/>
          <w:szCs w:val="24"/>
          <w:lang w:val="en-US"/>
        </w:rPr>
        <w:t>F</w:t>
      </w:r>
      <w:r w:rsidR="006D55FF" w:rsidRPr="006872AA">
        <w:rPr>
          <w:rFonts w:ascii="Times New Roman" w:hAnsi="Times New Roman" w:cs="Times New Roman"/>
          <w:color w:val="auto"/>
          <w:sz w:val="24"/>
          <w:szCs w:val="24"/>
          <w:lang w:val="en-US"/>
        </w:rPr>
        <w:t>igure e-1A-</w:t>
      </w:r>
      <w:r w:rsidRPr="006872AA">
        <w:rPr>
          <w:rFonts w:ascii="Times New Roman" w:hAnsi="Times New Roman" w:cs="Times New Roman"/>
          <w:color w:val="auto"/>
          <w:sz w:val="24"/>
          <w:szCs w:val="24"/>
          <w:lang w:val="en-US"/>
        </w:rPr>
        <w:t>D</w:t>
      </w:r>
      <w:r w:rsidR="006D55FF">
        <w:rPr>
          <w:rFonts w:ascii="Times New Roman" w:hAnsi="Times New Roman" w:cs="Times New Roman"/>
          <w:sz w:val="24"/>
          <w:szCs w:val="24"/>
          <w:lang w:val="en-US"/>
        </w:rPr>
        <w:t xml:space="preserve">. Magnetic resonance spectroscopy (MRS) of the proband (II:3). </w:t>
      </w:r>
      <w:r w:rsidR="00C17772" w:rsidRPr="00F053FC">
        <w:rPr>
          <w:rFonts w:ascii="Times New Roman" w:hAnsi="Times New Roman" w:cs="Times New Roman"/>
          <w:sz w:val="24"/>
          <w:szCs w:val="24"/>
          <w:lang w:val="en-US"/>
        </w:rPr>
        <w:t xml:space="preserve">MRS quantification (LC Model, S Provencher) at 23 days in left basal ganglia TE30 (A), left frontal lobar white matter TE144 </w:t>
      </w:r>
      <w:bookmarkStart w:id="5" w:name="_GoBack"/>
      <w:bookmarkEnd w:id="5"/>
      <w:r w:rsidR="00C17772" w:rsidRPr="00F053FC">
        <w:rPr>
          <w:rFonts w:ascii="Times New Roman" w:hAnsi="Times New Roman" w:cs="Times New Roman"/>
          <w:sz w:val="24"/>
          <w:szCs w:val="24"/>
          <w:lang w:val="en-US"/>
        </w:rPr>
        <w:t>(B) and at 4 years in left basal ganglia TE35 (C). Localization of MRS voxel (D). In basal ganglia total NAA and Cr persistent lower than average for age while Cho is seen within normal</w:t>
      </w:r>
      <w:r w:rsidR="00C17772">
        <w:rPr>
          <w:rFonts w:ascii="Times New Roman" w:hAnsi="Times New Roman" w:cs="Times New Roman"/>
          <w:sz w:val="24"/>
          <w:szCs w:val="24"/>
          <w:lang w:val="en-US"/>
        </w:rPr>
        <w:t xml:space="preserve"> (A, C)</w:t>
      </w:r>
      <w:r w:rsidR="00C17772" w:rsidRPr="00F053FC">
        <w:rPr>
          <w:rFonts w:ascii="Times New Roman" w:hAnsi="Times New Roman" w:cs="Times New Roman"/>
          <w:sz w:val="24"/>
          <w:szCs w:val="24"/>
          <w:lang w:val="en-US"/>
        </w:rPr>
        <w:t xml:space="preserve">. Initial low </w:t>
      </w:r>
      <w:proofErr w:type="spellStart"/>
      <w:r w:rsidR="00C17772" w:rsidRPr="00F053FC">
        <w:rPr>
          <w:rFonts w:ascii="Times New Roman" w:hAnsi="Times New Roman" w:cs="Times New Roman"/>
          <w:sz w:val="24"/>
          <w:szCs w:val="24"/>
          <w:lang w:val="en-US"/>
        </w:rPr>
        <w:t>Glx</w:t>
      </w:r>
      <w:proofErr w:type="spellEnd"/>
      <w:r w:rsidR="00C17772" w:rsidRPr="00F053FC">
        <w:rPr>
          <w:rFonts w:ascii="Times New Roman" w:hAnsi="Times New Roman" w:cs="Times New Roman"/>
          <w:sz w:val="24"/>
          <w:szCs w:val="24"/>
          <w:lang w:val="en-US"/>
        </w:rPr>
        <w:t xml:space="preserve"> is normalized. MRS in frontal white matter (B) detects normal Lac but low NAA and Cr.</w:t>
      </w:r>
    </w:p>
    <w:p w14:paraId="51C51A6B" w14:textId="77777777" w:rsidR="00C17772" w:rsidRPr="00C17772" w:rsidRDefault="00C17772" w:rsidP="0043698F"/>
    <w:sectPr w:rsidR="00C17772" w:rsidRPr="00C17772" w:rsidSect="008A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8F"/>
    <w:rsid w:val="00032E61"/>
    <w:rsid w:val="000F2D53"/>
    <w:rsid w:val="001D6669"/>
    <w:rsid w:val="00290F53"/>
    <w:rsid w:val="003162A3"/>
    <w:rsid w:val="00351E1D"/>
    <w:rsid w:val="0043698F"/>
    <w:rsid w:val="006872AA"/>
    <w:rsid w:val="006D55FF"/>
    <w:rsid w:val="008A7FE9"/>
    <w:rsid w:val="009723BE"/>
    <w:rsid w:val="00A45749"/>
    <w:rsid w:val="00C1208B"/>
    <w:rsid w:val="00C17772"/>
    <w:rsid w:val="00F418E5"/>
    <w:rsid w:val="00F72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6905"/>
  <w15:chartTrackingRefBased/>
  <w15:docId w15:val="{56D136F7-1D03-41D0-9853-89CA944D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369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3698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sv-SE"/>
    </w:rPr>
  </w:style>
  <w:style w:type="character" w:customStyle="1" w:styleId="BodyTextChar">
    <w:name w:val="Body Text Char"/>
    <w:basedOn w:val="DefaultParagraphFont"/>
    <w:link w:val="BodyText"/>
    <w:rsid w:val="0043698F"/>
    <w:rPr>
      <w:rFonts w:ascii="Calibri" w:eastAsia="Arial Unicode MS" w:hAnsi="Calibri" w:cs="Arial Unicode MS"/>
      <w:color w:val="000000"/>
      <w:u w:color="000000"/>
      <w:bdr w:val="nil"/>
      <w:lang w:val="de-DE" w:eastAsia="sv-SE"/>
    </w:rPr>
  </w:style>
  <w:style w:type="paragraph" w:styleId="CommentText">
    <w:name w:val="annotation text"/>
    <w:basedOn w:val="Normal"/>
    <w:link w:val="CommentTextChar"/>
    <w:uiPriority w:val="99"/>
    <w:semiHidden/>
    <w:unhideWhenUsed/>
    <w:rsid w:val="0043698F"/>
    <w:rPr>
      <w:sz w:val="20"/>
      <w:szCs w:val="20"/>
    </w:rPr>
  </w:style>
  <w:style w:type="character" w:customStyle="1" w:styleId="CommentTextChar">
    <w:name w:val="Comment Text Char"/>
    <w:basedOn w:val="DefaultParagraphFont"/>
    <w:link w:val="CommentText"/>
    <w:uiPriority w:val="99"/>
    <w:semiHidden/>
    <w:rsid w:val="0043698F"/>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43698F"/>
    <w:rPr>
      <w:sz w:val="16"/>
      <w:szCs w:val="16"/>
    </w:rPr>
  </w:style>
  <w:style w:type="table" w:styleId="TableGrid">
    <w:name w:val="Table Grid"/>
    <w:basedOn w:val="TableNormal"/>
    <w:uiPriority w:val="39"/>
    <w:rsid w:val="0043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8F"/>
    <w:rPr>
      <w:rFonts w:ascii="Segoe UI" w:eastAsia="Arial Unicode MS" w:hAnsi="Segoe UI" w:cs="Segoe UI"/>
      <w:sz w:val="18"/>
      <w:szCs w:val="18"/>
      <w:bdr w:val="nil"/>
      <w:lang w:val="en-US"/>
    </w:rPr>
  </w:style>
  <w:style w:type="character" w:styleId="Hyperlink">
    <w:name w:val="Hyperlink"/>
    <w:rsid w:val="00A45749"/>
    <w:rPr>
      <w:u w:val="single"/>
    </w:rPr>
  </w:style>
  <w:style w:type="paragraph" w:customStyle="1" w:styleId="Frval">
    <w:name w:val="Förval"/>
    <w:rsid w:val="00A4574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v-SE"/>
      <w14:textOutline w14:w="0" w14:cap="flat" w14:cmpd="sng" w14:algn="ctr">
        <w14:noFill/>
        <w14:prstDash w14:val="solid"/>
        <w14:bevel/>
      </w14:textOutline>
    </w:rPr>
  </w:style>
  <w:style w:type="table" w:customStyle="1" w:styleId="TableNormal1">
    <w:name w:val="Table Normal1"/>
    <w:rsid w:val="001D66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Stödberg</dc:creator>
  <cp:keywords/>
  <dc:description/>
  <cp:lastModifiedBy>Miller, Megen</cp:lastModifiedBy>
  <cp:revision>3</cp:revision>
  <dcterms:created xsi:type="dcterms:W3CDTF">2020-06-23T21:06:00Z</dcterms:created>
  <dcterms:modified xsi:type="dcterms:W3CDTF">2020-06-24T15:31:00Z</dcterms:modified>
</cp:coreProperties>
</file>