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D1" w:rsidRPr="00A94596" w:rsidRDefault="00225BD1" w:rsidP="00225BD1">
      <w:pPr>
        <w:rPr>
          <w:rFonts w:cs="Times New Roman"/>
          <w:b/>
        </w:rPr>
      </w:pPr>
      <w:r>
        <w:rPr>
          <w:rFonts w:cs="Times New Roman"/>
          <w:b/>
        </w:rPr>
        <w:t>T</w:t>
      </w:r>
      <w:r w:rsidRPr="005E65E6">
        <w:rPr>
          <w:rFonts w:cs="Times New Roman"/>
          <w:b/>
        </w:rPr>
        <w:t xml:space="preserve">able </w:t>
      </w:r>
      <w:r>
        <w:rPr>
          <w:rFonts w:cs="Times New Roman"/>
          <w:b/>
        </w:rPr>
        <w:t>e-</w:t>
      </w:r>
      <w:r w:rsidRPr="00A94596">
        <w:rPr>
          <w:rFonts w:cs="Times New Roman"/>
          <w:b/>
        </w:rPr>
        <w:t>1</w:t>
      </w:r>
      <w:r w:rsidRPr="005E65E6">
        <w:rPr>
          <w:rFonts w:cs="Times New Roman"/>
          <w:b/>
        </w:rPr>
        <w:t>.</w:t>
      </w:r>
      <w:r w:rsidRPr="005E65E6">
        <w:rPr>
          <w:rFonts w:cs="Times New Roman"/>
        </w:rPr>
        <w:t xml:space="preserve"> Logistic regression for the association between the four PRS sets and hallucinations, using various adjustments for confounders or known risk </w:t>
      </w:r>
      <w:r w:rsidRPr="00A94596">
        <w:rPr>
          <w:rFonts w:cs="Times New Roman"/>
        </w:rPr>
        <w:t>factors for hallucinations</w:t>
      </w:r>
      <w:r w:rsidRPr="00307155">
        <w:rPr>
          <w:rFonts w:cs="Times New Roman"/>
        </w:rPr>
        <w:t xml:space="preserve"> </w:t>
      </w:r>
      <w:r w:rsidRPr="00AA3010">
        <w:rPr>
          <w:rFonts w:cs="Times New Roman"/>
        </w:rPr>
        <w:t xml:space="preserve">among 399 PD patients from the two cohorts combined (PEG and PW); 53 patients reported hallucinations (13.3%). PRS were created using a </w:t>
      </w:r>
      <w:r>
        <w:rPr>
          <w:rFonts w:cs="Times New Roman"/>
        </w:rPr>
        <w:t xml:space="preserve">P-value </w:t>
      </w:r>
      <w:r w:rsidRPr="00AA3010">
        <w:rPr>
          <w:rFonts w:cs="Times New Roman"/>
        </w:rPr>
        <w:t>threshold of 5x10</w:t>
      </w:r>
      <w:r w:rsidRPr="00AA3010">
        <w:rPr>
          <w:rFonts w:cs="Times New Roman"/>
          <w:vertAlign w:val="superscript"/>
        </w:rPr>
        <w:t>-8</w:t>
      </w:r>
      <w:r w:rsidRPr="00AA3010">
        <w:rPr>
          <w:rFonts w:cs="Times New Roman"/>
        </w:rPr>
        <w:t xml:space="preserve">. </w:t>
      </w:r>
      <w:r w:rsidRPr="005E65E6">
        <w:rPr>
          <w:rFonts w:cs="Times New Roman"/>
          <w:b/>
        </w:rPr>
        <w:t xml:space="preserve"> </w:t>
      </w:r>
    </w:p>
    <w:p w:rsidR="00225BD1" w:rsidRPr="00A94596" w:rsidRDefault="00225BD1" w:rsidP="00225BD1">
      <w:pPr>
        <w:rPr>
          <w:rFonts w:cs="Times New Roman"/>
        </w:rPr>
      </w:pPr>
    </w:p>
    <w:p w:rsidR="00225BD1" w:rsidRPr="00A94596" w:rsidRDefault="00225BD1" w:rsidP="00225BD1">
      <w:pPr>
        <w:rPr>
          <w:rFonts w:cs="Times New Roman"/>
        </w:rPr>
      </w:pPr>
    </w:p>
    <w:tbl>
      <w:tblPr>
        <w:tblW w:w="921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520"/>
        <w:gridCol w:w="1350"/>
        <w:gridCol w:w="724"/>
        <w:gridCol w:w="362"/>
        <w:gridCol w:w="362"/>
        <w:gridCol w:w="725"/>
        <w:gridCol w:w="724"/>
        <w:gridCol w:w="362"/>
        <w:gridCol w:w="363"/>
        <w:gridCol w:w="724"/>
      </w:tblGrid>
      <w:tr w:rsidR="00225BD1" w:rsidRPr="005E65E6" w:rsidTr="00A94596">
        <w:trPr>
          <w:trHeight w:val="210"/>
        </w:trPr>
        <w:tc>
          <w:tcPr>
            <w:tcW w:w="35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Alzheimer’s disease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i/>
                <w:color w:val="000000"/>
              </w:rPr>
              <w:t>APOE</w:t>
            </w:r>
          </w:p>
        </w:tc>
      </w:tr>
      <w:tr w:rsidR="00225BD1" w:rsidRPr="005E65E6" w:rsidTr="00A94596">
        <w:trPr>
          <w:trHeight w:val="210"/>
        </w:trPr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BD1" w:rsidRPr="00A94596" w:rsidRDefault="00225BD1" w:rsidP="00A94596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No hall / tot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BD1" w:rsidRPr="00A94596" w:rsidRDefault="00225BD1" w:rsidP="00A94596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aOR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BD1" w:rsidRPr="00A94596" w:rsidRDefault="00225BD1" w:rsidP="00A94596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95% CI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BD1" w:rsidRPr="00A94596" w:rsidRDefault="00225BD1" w:rsidP="00A94596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aOR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D1" w:rsidRPr="00A94596" w:rsidRDefault="00225BD1" w:rsidP="00A94596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95% CI</w:t>
            </w:r>
          </w:p>
        </w:tc>
      </w:tr>
      <w:tr w:rsidR="00225BD1" w:rsidRPr="005E65E6" w:rsidTr="00A94596">
        <w:trPr>
          <w:trHeight w:val="210"/>
        </w:trPr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94596">
              <w:rPr>
                <w:rFonts w:eastAsia="Times New Roman" w:cs="Times New Roman"/>
                <w:b/>
                <w:bCs/>
                <w:color w:val="000000"/>
              </w:rPr>
              <w:t>Original adjustments</w:t>
            </w:r>
            <w:r w:rsidRPr="00A94596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53 / 399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1.37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1.03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1.83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1.92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1.14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3.22</w:t>
            </w:r>
          </w:p>
        </w:tc>
      </w:tr>
      <w:tr w:rsidR="00225BD1" w:rsidRPr="005E65E6" w:rsidTr="00A94596">
        <w:trPr>
          <w:trHeight w:val="21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94596">
              <w:rPr>
                <w:rFonts w:eastAsia="Times New Roman" w:cs="Times New Roman"/>
                <w:b/>
                <w:bCs/>
                <w:color w:val="000000"/>
              </w:rPr>
              <w:t>MMSE</w:t>
            </w:r>
            <w:r w:rsidRPr="00A94596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50 / 396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2.05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2.11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1.20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3.70</w:t>
            </w:r>
          </w:p>
        </w:tc>
      </w:tr>
      <w:tr w:rsidR="00225BD1" w:rsidRPr="005E65E6" w:rsidTr="00A94596">
        <w:trPr>
          <w:trHeight w:val="21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94596">
              <w:rPr>
                <w:rFonts w:eastAsia="Times New Roman" w:cs="Times New Roman"/>
                <w:b/>
                <w:bCs/>
                <w:color w:val="000000"/>
              </w:rPr>
              <w:t>UPDRS</w:t>
            </w:r>
            <w:r w:rsidRPr="00A94596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52 / 396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1.33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0.98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1.81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1.67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0.95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2.93</w:t>
            </w:r>
          </w:p>
        </w:tc>
      </w:tr>
      <w:tr w:rsidR="00225BD1" w:rsidRPr="005E65E6" w:rsidTr="00A94596">
        <w:trPr>
          <w:trHeight w:val="21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94596">
              <w:rPr>
                <w:rFonts w:eastAsia="Times New Roman" w:cs="Times New Roman"/>
                <w:b/>
                <w:bCs/>
                <w:color w:val="000000"/>
              </w:rPr>
              <w:t>Depression score</w:t>
            </w:r>
            <w:r w:rsidRPr="00A94596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53 / 399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1.38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1.03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1.86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1.95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3.32</w:t>
            </w:r>
          </w:p>
        </w:tc>
      </w:tr>
      <w:tr w:rsidR="00225BD1" w:rsidRPr="005E65E6" w:rsidTr="00A94596">
        <w:trPr>
          <w:trHeight w:val="21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94596">
              <w:rPr>
                <w:rFonts w:eastAsia="Times New Roman" w:cs="Times New Roman"/>
                <w:b/>
                <w:bCs/>
                <w:color w:val="000000"/>
              </w:rPr>
              <w:t>Apathy score</w:t>
            </w:r>
            <w:r w:rsidRPr="00A94596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5</w:t>
            </w:r>
            <w:r w:rsidRPr="00A94596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53 / 399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1.37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1.83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1.87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3.18</w:t>
            </w:r>
          </w:p>
        </w:tc>
      </w:tr>
      <w:tr w:rsidR="00225BD1" w:rsidRPr="005E65E6" w:rsidTr="00A94596">
        <w:trPr>
          <w:trHeight w:val="21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94596">
              <w:rPr>
                <w:rFonts w:eastAsia="Times New Roman" w:cs="Times New Roman"/>
                <w:b/>
                <w:bCs/>
                <w:color w:val="000000"/>
              </w:rPr>
              <w:t>Anxiety score</w:t>
            </w:r>
            <w:r w:rsidRPr="00A94596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38 / 281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1.48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2.13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2.15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4.07</w:t>
            </w:r>
          </w:p>
        </w:tc>
      </w:tr>
      <w:tr w:rsidR="00225BD1" w:rsidRPr="005E65E6" w:rsidTr="00A94596">
        <w:trPr>
          <w:trHeight w:val="21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94596">
              <w:rPr>
                <w:rFonts w:eastAsia="Times New Roman" w:cs="Times New Roman"/>
                <w:b/>
                <w:bCs/>
                <w:color w:val="000000"/>
              </w:rPr>
              <w:t>RBD</w:t>
            </w:r>
            <w:r w:rsidRPr="00A94596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47 / 379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1.34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0.99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1.82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1.99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1.16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3.43</w:t>
            </w:r>
          </w:p>
        </w:tc>
      </w:tr>
      <w:tr w:rsidR="00225BD1" w:rsidRPr="005E65E6" w:rsidTr="00A94596">
        <w:trPr>
          <w:trHeight w:val="21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94596">
              <w:rPr>
                <w:rFonts w:eastAsia="Times New Roman" w:cs="Times New Roman"/>
                <w:b/>
                <w:bCs/>
                <w:color w:val="000000"/>
              </w:rPr>
              <w:t>MMSE + UPDRS</w:t>
            </w:r>
            <w:r w:rsidRPr="00A94596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49 / 390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1.38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1.89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1.81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3.23</w:t>
            </w:r>
          </w:p>
        </w:tc>
      </w:tr>
      <w:tr w:rsidR="00225BD1" w:rsidRPr="005E65E6" w:rsidTr="00A94596">
        <w:trPr>
          <w:trHeight w:val="21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94596">
              <w:rPr>
                <w:rFonts w:eastAsia="Times New Roman" w:cs="Times New Roman"/>
                <w:b/>
                <w:bCs/>
                <w:color w:val="000000"/>
              </w:rPr>
              <w:t>MMSE + UPDRS + Depression</w:t>
            </w:r>
            <w:r w:rsidRPr="00A94596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49 / 390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1.39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1.91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1.80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3.25</w:t>
            </w:r>
          </w:p>
        </w:tc>
      </w:tr>
      <w:tr w:rsidR="00225BD1" w:rsidRPr="005E65E6" w:rsidTr="00A94596">
        <w:trPr>
          <w:trHeight w:val="21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94596">
              <w:rPr>
                <w:rFonts w:eastAsia="Times New Roman" w:cs="Times New Roman"/>
                <w:b/>
                <w:bCs/>
                <w:color w:val="000000"/>
              </w:rPr>
              <w:t>MMSE + UPDRS + RBD</w:t>
            </w:r>
            <w:r w:rsidRPr="00A94596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47 / 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1.37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1.90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1.89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jc w:val="right"/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3.45</w:t>
            </w:r>
          </w:p>
        </w:tc>
      </w:tr>
    </w:tbl>
    <w:p w:rsidR="00225BD1" w:rsidRDefault="00225BD1" w:rsidP="00225BD1">
      <w:pPr>
        <w:rPr>
          <w:rFonts w:cs="Times New Roman"/>
          <w:vertAlign w:val="superscript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520"/>
        <w:gridCol w:w="1350"/>
        <w:gridCol w:w="720"/>
        <w:gridCol w:w="720"/>
        <w:gridCol w:w="720"/>
        <w:gridCol w:w="720"/>
        <w:gridCol w:w="720"/>
        <w:gridCol w:w="720"/>
      </w:tblGrid>
      <w:tr w:rsidR="00225BD1" w:rsidRPr="00A94596" w:rsidTr="00A94596">
        <w:trPr>
          <w:trHeight w:val="205"/>
        </w:trPr>
        <w:tc>
          <w:tcPr>
            <w:tcW w:w="35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Schizophrenia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Parkinson’s disease</w:t>
            </w:r>
          </w:p>
        </w:tc>
      </w:tr>
      <w:tr w:rsidR="00225BD1" w:rsidRPr="00A94596" w:rsidTr="00A94596">
        <w:trPr>
          <w:trHeight w:val="205"/>
        </w:trPr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BD1" w:rsidRPr="00A94596" w:rsidRDefault="00225BD1" w:rsidP="00A94596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No hall / tot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aOR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95% 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aOR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95% CI</w:t>
            </w:r>
          </w:p>
        </w:tc>
      </w:tr>
      <w:tr w:rsidR="00225BD1" w:rsidRPr="00A94596" w:rsidTr="00A94596">
        <w:trPr>
          <w:trHeight w:val="205"/>
        </w:trPr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94596">
              <w:rPr>
                <w:rFonts w:eastAsia="Times New Roman" w:cs="Times New Roman"/>
                <w:b/>
                <w:bCs/>
                <w:color w:val="000000"/>
              </w:rPr>
              <w:t>Original adjustments</w:t>
            </w:r>
            <w:r w:rsidRPr="00A94596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53 / 399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0.77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0.59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1.29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0.95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1.76</w:t>
            </w:r>
          </w:p>
        </w:tc>
      </w:tr>
      <w:tr w:rsidR="00225BD1" w:rsidRPr="00A94596" w:rsidTr="00A94596">
        <w:trPr>
          <w:trHeight w:val="20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94596">
              <w:rPr>
                <w:rFonts w:eastAsia="Times New Roman" w:cs="Times New Roman"/>
                <w:b/>
                <w:bCs/>
                <w:color w:val="000000"/>
              </w:rPr>
              <w:t>MMSE</w:t>
            </w:r>
            <w:r w:rsidRPr="00A94596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50 / 396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0.80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0.59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1.42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1.01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2.00</w:t>
            </w:r>
          </w:p>
        </w:tc>
      </w:tr>
      <w:tr w:rsidR="00225BD1" w:rsidRPr="00A94596" w:rsidTr="00A94596">
        <w:trPr>
          <w:trHeight w:val="20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94596">
              <w:rPr>
                <w:rFonts w:eastAsia="Times New Roman" w:cs="Times New Roman"/>
                <w:b/>
                <w:bCs/>
                <w:color w:val="000000"/>
              </w:rPr>
              <w:t>UPDRS</w:t>
            </w:r>
            <w:r w:rsidRPr="00A94596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52 / 396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0.83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0.60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0.83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1.28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0.92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1.79</w:t>
            </w:r>
          </w:p>
        </w:tc>
      </w:tr>
      <w:tr w:rsidR="00225BD1" w:rsidRPr="00A94596" w:rsidTr="00A94596">
        <w:trPr>
          <w:trHeight w:val="20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94596">
              <w:rPr>
                <w:rFonts w:eastAsia="Times New Roman" w:cs="Times New Roman"/>
                <w:b/>
                <w:bCs/>
                <w:color w:val="000000"/>
              </w:rPr>
              <w:t>Depression score</w:t>
            </w:r>
            <w:r w:rsidRPr="00A94596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53 / 399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0.75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0.56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0.75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1.33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0.96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1.83</w:t>
            </w:r>
          </w:p>
        </w:tc>
      </w:tr>
      <w:tr w:rsidR="00225BD1" w:rsidRPr="00A94596" w:rsidTr="00A94596">
        <w:trPr>
          <w:trHeight w:val="20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94596">
              <w:rPr>
                <w:rFonts w:eastAsia="Times New Roman" w:cs="Times New Roman"/>
                <w:b/>
                <w:bCs/>
                <w:color w:val="000000"/>
              </w:rPr>
              <w:t>Apathy score</w:t>
            </w:r>
            <w:r w:rsidRPr="00A94596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5</w:t>
            </w:r>
            <w:r w:rsidRPr="00A94596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53 / 399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0.75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0.56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0.75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1.34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0.98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1.85</w:t>
            </w:r>
          </w:p>
        </w:tc>
      </w:tr>
      <w:tr w:rsidR="00225BD1" w:rsidRPr="00A94596" w:rsidTr="00A94596">
        <w:trPr>
          <w:trHeight w:val="20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94596">
              <w:rPr>
                <w:rFonts w:eastAsia="Times New Roman" w:cs="Times New Roman"/>
                <w:b/>
                <w:bCs/>
                <w:color w:val="000000"/>
              </w:rPr>
              <w:t>Anxiety score</w:t>
            </w:r>
            <w:r w:rsidRPr="00A94596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38 / 281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0.74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0.54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0.74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1.40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0.97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2.03</w:t>
            </w:r>
          </w:p>
        </w:tc>
      </w:tr>
      <w:tr w:rsidR="00225BD1" w:rsidRPr="00A94596" w:rsidTr="00A94596">
        <w:trPr>
          <w:trHeight w:val="20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94596">
              <w:rPr>
                <w:rFonts w:eastAsia="Times New Roman" w:cs="Times New Roman"/>
                <w:b/>
                <w:bCs/>
                <w:color w:val="000000"/>
              </w:rPr>
              <w:t>RBD</w:t>
            </w:r>
            <w:r w:rsidRPr="00A94596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47 / 379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0.71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0.53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0.71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1.38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0.99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1.94</w:t>
            </w:r>
          </w:p>
        </w:tc>
      </w:tr>
      <w:tr w:rsidR="00225BD1" w:rsidRPr="00A94596" w:rsidTr="00A94596">
        <w:trPr>
          <w:trHeight w:val="20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94596">
              <w:rPr>
                <w:rFonts w:eastAsia="Times New Roman" w:cs="Times New Roman"/>
                <w:b/>
                <w:bCs/>
                <w:color w:val="000000"/>
              </w:rPr>
              <w:t>MMSE + UPDRS</w:t>
            </w:r>
            <w:r w:rsidRPr="00A94596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49 / 390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0.82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0.60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0.82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1.32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0.94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1.87</w:t>
            </w:r>
          </w:p>
        </w:tc>
      </w:tr>
      <w:tr w:rsidR="00225BD1" w:rsidRPr="00A94596" w:rsidTr="00A94596">
        <w:trPr>
          <w:trHeight w:val="20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94596">
              <w:rPr>
                <w:rFonts w:eastAsia="Times New Roman" w:cs="Times New Roman"/>
                <w:b/>
                <w:bCs/>
                <w:color w:val="000000"/>
              </w:rPr>
              <w:t>MMSE + UPDRS + Depression</w:t>
            </w:r>
            <w:r w:rsidRPr="00A94596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49 / 390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0.80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0.59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1.35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0.95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1.92</w:t>
            </w:r>
          </w:p>
        </w:tc>
      </w:tr>
      <w:tr w:rsidR="00225BD1" w:rsidRPr="00A94596" w:rsidTr="00A94596">
        <w:trPr>
          <w:trHeight w:val="20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94596">
              <w:rPr>
                <w:rFonts w:eastAsia="Times New Roman" w:cs="Times New Roman"/>
                <w:b/>
                <w:bCs/>
                <w:color w:val="000000"/>
              </w:rPr>
              <w:t>MMSE + UPDRS + RBD</w:t>
            </w:r>
            <w:r w:rsidRPr="00A94596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47 / 370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0.74</w:t>
            </w: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0.54</w:t>
            </w:r>
          </w:p>
        </w:tc>
        <w:tc>
          <w:tcPr>
            <w:tcW w:w="720" w:type="dxa"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0.74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1.45</w:t>
            </w: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1.00</w:t>
            </w:r>
          </w:p>
        </w:tc>
        <w:tc>
          <w:tcPr>
            <w:tcW w:w="72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5BD1" w:rsidRPr="00A94596" w:rsidRDefault="00225BD1" w:rsidP="00A94596">
            <w:pPr>
              <w:rPr>
                <w:rFonts w:eastAsia="Times New Roman" w:cs="Times New Roman"/>
                <w:color w:val="000000"/>
              </w:rPr>
            </w:pPr>
            <w:r w:rsidRPr="00A94596">
              <w:rPr>
                <w:rFonts w:eastAsia="Times New Roman" w:cs="Times New Roman"/>
                <w:color w:val="000000"/>
              </w:rPr>
              <w:t>2.11</w:t>
            </w:r>
          </w:p>
        </w:tc>
      </w:tr>
    </w:tbl>
    <w:p w:rsidR="00225BD1" w:rsidRPr="00A94596" w:rsidRDefault="00225BD1" w:rsidP="00225BD1">
      <w:pPr>
        <w:rPr>
          <w:rFonts w:eastAsia="Times New Roman" w:cs="Times New Roman"/>
          <w:color w:val="000000"/>
        </w:rPr>
      </w:pPr>
      <w:r w:rsidRPr="00A94596">
        <w:rPr>
          <w:rFonts w:cs="Times New Roman"/>
          <w:vertAlign w:val="superscript"/>
        </w:rPr>
        <w:t>1</w:t>
      </w:r>
      <w:r w:rsidRPr="00A94596">
        <w:rPr>
          <w:rFonts w:cs="Times New Roman"/>
        </w:rPr>
        <w:t xml:space="preserve"> Adjustments for</w:t>
      </w:r>
      <w:r w:rsidRPr="005E65E6">
        <w:rPr>
          <w:rFonts w:cs="Times New Roman"/>
          <w:u w:val="single"/>
        </w:rPr>
        <w:t xml:space="preserve"> </w:t>
      </w:r>
      <w:r w:rsidRPr="005E65E6">
        <w:rPr>
          <w:rFonts w:cs="Times New Roman"/>
        </w:rPr>
        <w:t xml:space="preserve">sex, fractional ethnicity, age at diagnosis, disease duration, and study </w:t>
      </w:r>
    </w:p>
    <w:p w:rsidR="00225BD1" w:rsidRPr="00A94596" w:rsidRDefault="00225BD1" w:rsidP="00225BD1">
      <w:pPr>
        <w:rPr>
          <w:rFonts w:eastAsia="Times New Roman" w:cs="Times New Roman"/>
          <w:color w:val="000000"/>
        </w:rPr>
      </w:pPr>
      <w:r w:rsidRPr="00A94596">
        <w:rPr>
          <w:rFonts w:eastAsia="Times New Roman" w:cs="Times New Roman"/>
          <w:color w:val="000000"/>
          <w:vertAlign w:val="superscript"/>
        </w:rPr>
        <w:t>2</w:t>
      </w:r>
      <w:r w:rsidRPr="00A94596">
        <w:rPr>
          <w:rFonts w:eastAsia="Times New Roman" w:cs="Times New Roman"/>
          <w:color w:val="000000"/>
        </w:rPr>
        <w:t xml:space="preserve"> Adjustment for MMSE as a continuous variable. In addition, also adjustment for </w:t>
      </w:r>
      <w:r w:rsidRPr="005E65E6">
        <w:rPr>
          <w:rFonts w:cs="Times New Roman"/>
        </w:rPr>
        <w:t xml:space="preserve">sex, fractional ethnicity, and disease duration. No adjustment for age at diagnosis due to high correlation with </w:t>
      </w:r>
      <w:proofErr w:type="spellStart"/>
      <w:r w:rsidRPr="005E65E6">
        <w:rPr>
          <w:rFonts w:cs="Times New Roman"/>
        </w:rPr>
        <w:t>mmse</w:t>
      </w:r>
      <w:proofErr w:type="spellEnd"/>
      <w:r w:rsidRPr="005E65E6">
        <w:rPr>
          <w:rFonts w:cs="Times New Roman"/>
        </w:rPr>
        <w:t xml:space="preserve">. </w:t>
      </w:r>
    </w:p>
    <w:p w:rsidR="00225BD1" w:rsidRPr="00A94596" w:rsidRDefault="00225BD1" w:rsidP="00225BD1">
      <w:pPr>
        <w:rPr>
          <w:rFonts w:eastAsia="Times New Roman" w:cs="Times New Roman"/>
          <w:color w:val="000000"/>
        </w:rPr>
      </w:pPr>
      <w:r w:rsidRPr="00A94596">
        <w:rPr>
          <w:rFonts w:eastAsia="Times New Roman" w:cs="Times New Roman"/>
          <w:b/>
          <w:color w:val="000000"/>
          <w:vertAlign w:val="superscript"/>
        </w:rPr>
        <w:t xml:space="preserve">3 </w:t>
      </w:r>
      <w:r w:rsidRPr="00A94596">
        <w:rPr>
          <w:rFonts w:eastAsia="Times New Roman" w:cs="Times New Roman"/>
          <w:color w:val="000000"/>
        </w:rPr>
        <w:t xml:space="preserve">Adjustment for the UPDRS motor score as a continuous variable. In addition, also adjustment for </w:t>
      </w:r>
      <w:r w:rsidRPr="005E65E6">
        <w:rPr>
          <w:rFonts w:cs="Times New Roman"/>
        </w:rPr>
        <w:t xml:space="preserve">sex, fractional ethnicity, and age at diagnosis. No adjustment for disease duration due to high correlation with UPDRS motor score. </w:t>
      </w:r>
    </w:p>
    <w:p w:rsidR="00225BD1" w:rsidRPr="00A94596" w:rsidRDefault="00225BD1" w:rsidP="00225BD1">
      <w:pPr>
        <w:rPr>
          <w:rFonts w:eastAsia="Times New Roman" w:cs="Times New Roman"/>
          <w:color w:val="000000"/>
        </w:rPr>
      </w:pPr>
      <w:r w:rsidRPr="00A94596">
        <w:rPr>
          <w:rFonts w:eastAsia="Times New Roman" w:cs="Times New Roman"/>
          <w:color w:val="000000"/>
          <w:vertAlign w:val="superscript"/>
        </w:rPr>
        <w:t xml:space="preserve">4 </w:t>
      </w:r>
      <w:r w:rsidRPr="00A94596">
        <w:rPr>
          <w:rFonts w:eastAsia="Times New Roman" w:cs="Times New Roman"/>
          <w:color w:val="000000"/>
        </w:rPr>
        <w:t>Depression score from the (MDS)-UPDRS questionnaire as a continuous variable. In addition, also adjustment for</w:t>
      </w:r>
      <w:r w:rsidRPr="005E65E6">
        <w:rPr>
          <w:rFonts w:cs="Times New Roman"/>
        </w:rPr>
        <w:t xml:space="preserve"> sex, fractional ethnicity, age at diagnosis, disease duration, and study</w:t>
      </w:r>
    </w:p>
    <w:p w:rsidR="00225BD1" w:rsidRPr="00A94596" w:rsidRDefault="00225BD1" w:rsidP="00225BD1">
      <w:pPr>
        <w:rPr>
          <w:rFonts w:eastAsia="Times New Roman" w:cs="Times New Roman"/>
          <w:color w:val="000000"/>
        </w:rPr>
      </w:pPr>
      <w:r w:rsidRPr="00A94596">
        <w:rPr>
          <w:rFonts w:eastAsia="Times New Roman" w:cs="Times New Roman"/>
          <w:color w:val="000000"/>
          <w:vertAlign w:val="superscript"/>
        </w:rPr>
        <w:t xml:space="preserve">5 </w:t>
      </w:r>
      <w:r w:rsidRPr="00A94596">
        <w:rPr>
          <w:rFonts w:eastAsia="Times New Roman" w:cs="Times New Roman"/>
          <w:color w:val="000000"/>
        </w:rPr>
        <w:t>Apathy score from the (MDS)-UPDRS questionnaire as a continuous variable. In addition, also adjustment for</w:t>
      </w:r>
      <w:r w:rsidRPr="005E65E6">
        <w:rPr>
          <w:rFonts w:cs="Times New Roman"/>
        </w:rPr>
        <w:t xml:space="preserve"> sex, fractional ethnicity, age at diagnosis, disease duration, and study</w:t>
      </w:r>
    </w:p>
    <w:p w:rsidR="00225BD1" w:rsidRPr="00A94596" w:rsidRDefault="00225BD1" w:rsidP="00225BD1">
      <w:pPr>
        <w:rPr>
          <w:rFonts w:eastAsia="Times New Roman" w:cs="Times New Roman"/>
          <w:color w:val="000000"/>
        </w:rPr>
      </w:pPr>
      <w:r w:rsidRPr="00A94596">
        <w:rPr>
          <w:rFonts w:eastAsia="Times New Roman" w:cs="Times New Roman"/>
          <w:color w:val="000000"/>
        </w:rPr>
        <w:lastRenderedPageBreak/>
        <w:t>6 Anxiety score from the MDS-UPDRS questionnaire as a continuous variable. In addition, also adjustment for</w:t>
      </w:r>
      <w:r w:rsidRPr="005E65E6">
        <w:rPr>
          <w:rFonts w:cs="Times New Roman"/>
        </w:rPr>
        <w:t xml:space="preserve"> sex, fractional ethnicity, age at diagnosis, disease duration, and study. Only available in the PEG study (not available in the UPDRS questionnaire)</w:t>
      </w:r>
    </w:p>
    <w:p w:rsidR="00225BD1" w:rsidRPr="00A94596" w:rsidRDefault="00225BD1" w:rsidP="00225BD1">
      <w:pPr>
        <w:rPr>
          <w:rFonts w:eastAsia="Times New Roman" w:cs="Times New Roman"/>
          <w:color w:val="000000"/>
        </w:rPr>
      </w:pPr>
      <w:r w:rsidRPr="00A94596">
        <w:rPr>
          <w:rFonts w:eastAsia="Times New Roman" w:cs="Times New Roman"/>
          <w:color w:val="000000"/>
          <w:vertAlign w:val="superscript"/>
        </w:rPr>
        <w:t xml:space="preserve">7 </w:t>
      </w:r>
      <w:r w:rsidRPr="00A94596">
        <w:rPr>
          <w:rFonts w:eastAsia="Times New Roman" w:cs="Times New Roman"/>
          <w:color w:val="000000"/>
        </w:rPr>
        <w:t>REM sleep Behavior Disorder (RBD) status. In addition, also adjustment for</w:t>
      </w:r>
      <w:r w:rsidRPr="005E65E6">
        <w:rPr>
          <w:rFonts w:cs="Times New Roman"/>
        </w:rPr>
        <w:t xml:space="preserve"> sex, fractional ethnicity, age at diagnosis, disease duration, and study</w:t>
      </w:r>
    </w:p>
    <w:p w:rsidR="00225BD1" w:rsidRPr="00A94596" w:rsidRDefault="00225BD1" w:rsidP="00225BD1">
      <w:pPr>
        <w:rPr>
          <w:rFonts w:eastAsia="Times New Roman" w:cs="Times New Roman"/>
          <w:color w:val="000000"/>
        </w:rPr>
      </w:pPr>
      <w:r w:rsidRPr="00A94596">
        <w:rPr>
          <w:rFonts w:eastAsia="Times New Roman" w:cs="Times New Roman"/>
          <w:color w:val="000000"/>
          <w:vertAlign w:val="superscript"/>
        </w:rPr>
        <w:t xml:space="preserve">8 </w:t>
      </w:r>
      <w:r w:rsidRPr="00A94596">
        <w:rPr>
          <w:rFonts w:eastAsia="Times New Roman" w:cs="Times New Roman"/>
          <w:color w:val="000000"/>
        </w:rPr>
        <w:t xml:space="preserve">Adjustment for MMSE and the UPDRS motor score as continuous variables. In addition, also adjustment for </w:t>
      </w:r>
      <w:r w:rsidRPr="005E65E6">
        <w:rPr>
          <w:rFonts w:cs="Times New Roman"/>
        </w:rPr>
        <w:t xml:space="preserve">fractional ethnicity. </w:t>
      </w:r>
    </w:p>
    <w:p w:rsidR="00225BD1" w:rsidRPr="00A94596" w:rsidRDefault="00225BD1" w:rsidP="00225BD1">
      <w:pPr>
        <w:rPr>
          <w:rFonts w:eastAsia="Times New Roman" w:cs="Times New Roman"/>
          <w:color w:val="000000"/>
        </w:rPr>
      </w:pPr>
      <w:r w:rsidRPr="00A94596">
        <w:rPr>
          <w:rFonts w:eastAsia="Times New Roman" w:cs="Times New Roman"/>
          <w:color w:val="000000"/>
          <w:vertAlign w:val="superscript"/>
        </w:rPr>
        <w:t xml:space="preserve">9 </w:t>
      </w:r>
      <w:r w:rsidRPr="00A94596">
        <w:rPr>
          <w:rFonts w:eastAsia="Times New Roman" w:cs="Times New Roman"/>
          <w:color w:val="000000"/>
        </w:rPr>
        <w:t xml:space="preserve">Adjustment for MMSE, the UPDRS motor score, and the depression score as continuous variables. In addition, also adjustment for </w:t>
      </w:r>
      <w:r w:rsidRPr="005E65E6">
        <w:rPr>
          <w:rFonts w:cs="Times New Roman"/>
        </w:rPr>
        <w:t xml:space="preserve">fractional ethnicity. </w:t>
      </w:r>
    </w:p>
    <w:p w:rsidR="00225BD1" w:rsidRPr="00A94596" w:rsidRDefault="00225BD1" w:rsidP="00225BD1">
      <w:pPr>
        <w:rPr>
          <w:rFonts w:cs="Times New Roman"/>
        </w:rPr>
      </w:pPr>
      <w:r w:rsidRPr="00A94596">
        <w:rPr>
          <w:rFonts w:eastAsia="Times New Roman" w:cs="Times New Roman"/>
          <w:b/>
          <w:bCs/>
          <w:color w:val="000000"/>
          <w:vertAlign w:val="superscript"/>
        </w:rPr>
        <w:t xml:space="preserve">10 </w:t>
      </w:r>
      <w:r w:rsidRPr="00A94596">
        <w:rPr>
          <w:rFonts w:eastAsia="Times New Roman" w:cs="Times New Roman"/>
          <w:color w:val="000000"/>
        </w:rPr>
        <w:t xml:space="preserve">Adjustment for MMSE, the UPDRS motor score and RBD status. In addition, also adjustment for </w:t>
      </w:r>
      <w:r w:rsidRPr="005E65E6">
        <w:rPr>
          <w:rFonts w:cs="Times New Roman"/>
        </w:rPr>
        <w:t xml:space="preserve">fractional ethnicity. </w:t>
      </w:r>
    </w:p>
    <w:p w:rsidR="00225BD1" w:rsidRDefault="00225BD1" w:rsidP="00225BD1">
      <w:pPr>
        <w:rPr>
          <w:rFonts w:eastAsia="Times New Roman" w:cs="Times New Roman"/>
          <w:b/>
          <w:color w:val="000000"/>
        </w:rPr>
      </w:pPr>
      <w:r w:rsidRPr="005E65E6">
        <w:rPr>
          <w:rFonts w:cs="Times New Roman"/>
        </w:rPr>
        <w:t xml:space="preserve">The </w:t>
      </w:r>
      <w:r w:rsidRPr="005E65E6">
        <w:rPr>
          <w:rFonts w:cs="Times New Roman"/>
          <w:i/>
        </w:rPr>
        <w:t>APOE-</w:t>
      </w:r>
      <w:r w:rsidRPr="005E65E6">
        <w:rPr>
          <w:rFonts w:cs="Times New Roman"/>
        </w:rPr>
        <w:t xml:space="preserve">PRS is based </w:t>
      </w:r>
      <w:r>
        <w:rPr>
          <w:rFonts w:cs="Times New Roman"/>
        </w:rPr>
        <w:t xml:space="preserve">on </w:t>
      </w:r>
      <w:r w:rsidRPr="005E65E6">
        <w:rPr>
          <w:rFonts w:cs="Times New Roman"/>
        </w:rPr>
        <w:t xml:space="preserve">rs429358 and rs7412, where each apoe4-allele increases risk (β: </w:t>
      </w:r>
      <w:r w:rsidRPr="005E65E6">
        <w:rPr>
          <w:rFonts w:cs="Times New Roman"/>
          <w:bCs/>
          <w:shd w:val="clear" w:color="auto" w:fill="FFFFFF"/>
        </w:rPr>
        <w:t>1.327</w:t>
      </w:r>
      <w:r w:rsidRPr="005E65E6">
        <w:rPr>
          <w:rFonts w:cs="Times New Roman"/>
        </w:rPr>
        <w:t>), while each apoe2-allele decreases risk (</w:t>
      </w:r>
      <w:proofErr w:type="gramStart"/>
      <w:r w:rsidRPr="005E65E6">
        <w:rPr>
          <w:rFonts w:cs="Times New Roman"/>
        </w:rPr>
        <w:t>β:</w:t>
      </w:r>
      <w:r w:rsidRPr="005E65E6">
        <w:rPr>
          <w:rFonts w:cs="Times New Roman"/>
          <w:shd w:val="clear" w:color="auto" w:fill="FFFFFF"/>
        </w:rPr>
        <w:t>-</w:t>
      </w:r>
      <w:proofErr w:type="gramEnd"/>
      <w:r w:rsidRPr="005E65E6">
        <w:rPr>
          <w:rFonts w:cs="Times New Roman"/>
          <w:bCs/>
          <w:shd w:val="clear" w:color="auto" w:fill="FFFFFF"/>
        </w:rPr>
        <w:t>0.598) compared to apoe3.</w:t>
      </w:r>
      <w:r w:rsidRPr="00A94596">
        <w:rPr>
          <w:rFonts w:cs="Times New Roman"/>
        </w:rPr>
        <w:t>Abbreviations: No: Number; hall: Hallucinations; tot: total; aOR: adjusted Odds Ratio; CI: Confidence Interval</w:t>
      </w:r>
    </w:p>
    <w:sectPr w:rsidR="00225BD1" w:rsidSect="005E0D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D7E" w:rsidRDefault="00545D7E" w:rsidP="00887E3E">
      <w:r>
        <w:separator/>
      </w:r>
    </w:p>
  </w:endnote>
  <w:endnote w:type="continuationSeparator" w:id="0">
    <w:p w:rsidR="00545D7E" w:rsidRDefault="00545D7E" w:rsidP="0088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3E" w:rsidRDefault="00887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3E" w:rsidRDefault="00887E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3E" w:rsidRDefault="00887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D7E" w:rsidRDefault="00545D7E" w:rsidP="00887E3E">
      <w:r>
        <w:separator/>
      </w:r>
    </w:p>
  </w:footnote>
  <w:footnote w:type="continuationSeparator" w:id="0">
    <w:p w:rsidR="00545D7E" w:rsidRDefault="00545D7E" w:rsidP="0088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3E" w:rsidRDefault="00887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id w:val="5744779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4120" w:rsidRDefault="00545D7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E3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Cynthia Kusters</w:t>
        </w:r>
      </w:p>
    </w:sdtContent>
  </w:sdt>
  <w:bookmarkEnd w:id="0"/>
  <w:p w:rsidR="00204120" w:rsidRDefault="00545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3E" w:rsidRDefault="00887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D1"/>
    <w:rsid w:val="00225BD1"/>
    <w:rsid w:val="00545D7E"/>
    <w:rsid w:val="00730C43"/>
    <w:rsid w:val="0088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19A0"/>
  <w15:chartTrackingRefBased/>
  <w15:docId w15:val="{43C3D752-78E6-4818-BD15-7CFEA819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BD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BD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7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E3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Kusters-Rostoker</dc:creator>
  <cp:keywords/>
  <dc:description/>
  <cp:lastModifiedBy>Cynthia Kusters-Rostoker</cp:lastModifiedBy>
  <cp:revision>2</cp:revision>
  <dcterms:created xsi:type="dcterms:W3CDTF">2020-04-30T20:15:00Z</dcterms:created>
  <dcterms:modified xsi:type="dcterms:W3CDTF">2020-04-30T20:19:00Z</dcterms:modified>
</cp:coreProperties>
</file>