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BF" w:rsidRPr="00A94596" w:rsidRDefault="00BD4CBF" w:rsidP="00BD4CBF">
      <w:pPr>
        <w:rPr>
          <w:rFonts w:cs="Times New Roman"/>
        </w:rPr>
      </w:pPr>
      <w:r>
        <w:rPr>
          <w:rFonts w:cs="Times New Roman"/>
          <w:b/>
        </w:rPr>
        <w:t>T</w:t>
      </w:r>
      <w:r w:rsidRPr="00A94596">
        <w:rPr>
          <w:rFonts w:cs="Times New Roman"/>
          <w:b/>
        </w:rPr>
        <w:t xml:space="preserve">able </w:t>
      </w:r>
      <w:r>
        <w:rPr>
          <w:rFonts w:cs="Times New Roman"/>
          <w:b/>
        </w:rPr>
        <w:t>e-</w:t>
      </w:r>
      <w:r w:rsidRPr="00A94596">
        <w:rPr>
          <w:rFonts w:cs="Times New Roman"/>
          <w:b/>
        </w:rPr>
        <w:t>4.</w:t>
      </w:r>
      <w:r w:rsidRPr="00A94596">
        <w:rPr>
          <w:rFonts w:cs="Times New Roman"/>
        </w:rPr>
        <w:t xml:space="preserve"> Logistic regression for the association between SZ-PRS, AD-PRS, PD-PRS and the height-PRS and </w:t>
      </w:r>
      <w:r w:rsidRPr="00A94596">
        <w:rPr>
          <w:rFonts w:cs="Times New Roman"/>
          <w:b/>
          <w:u w:val="single"/>
        </w:rPr>
        <w:t>PD diagnosis</w:t>
      </w:r>
      <w:r w:rsidRPr="00A94596">
        <w:rPr>
          <w:rFonts w:cs="Times New Roman"/>
        </w:rPr>
        <w:t xml:space="preserve"> among 1,000 individuals from the PEG study (484 cases and 516 controls). PRS were created using a threshold of 5x10</w:t>
      </w:r>
      <w:r w:rsidRPr="00A94596">
        <w:rPr>
          <w:rFonts w:cs="Times New Roman"/>
          <w:vertAlign w:val="superscript"/>
        </w:rPr>
        <w:t>-8</w:t>
      </w:r>
      <w:r w:rsidRPr="00A94596">
        <w:rPr>
          <w:rFonts w:cs="Times New Roman"/>
        </w:rPr>
        <w:t xml:space="preserve">. </w:t>
      </w:r>
    </w:p>
    <w:p w:rsidR="00BD4CBF" w:rsidRPr="00A94596" w:rsidRDefault="00BD4CBF" w:rsidP="00BD4CBF">
      <w:pPr>
        <w:rPr>
          <w:rFonts w:cs="Times New Roman"/>
        </w:rPr>
      </w:pPr>
    </w:p>
    <w:tbl>
      <w:tblPr>
        <w:tblW w:w="6252" w:type="dxa"/>
        <w:tblLook w:val="04A0" w:firstRow="1" w:lastRow="0" w:firstColumn="1" w:lastColumn="0" w:noHBand="0" w:noVBand="1"/>
      </w:tblPr>
      <w:tblGrid>
        <w:gridCol w:w="2475"/>
        <w:gridCol w:w="1564"/>
        <w:gridCol w:w="753"/>
        <w:gridCol w:w="730"/>
        <w:gridCol w:w="730"/>
      </w:tblGrid>
      <w:tr w:rsidR="00BD4CBF" w:rsidRPr="005E65E6" w:rsidTr="00A94596">
        <w:trPr>
          <w:trHeight w:val="17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No of SNPs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A94596">
              <w:rPr>
                <w:rFonts w:cs="Times New Roman"/>
              </w:rPr>
              <w:t>aOR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A94596">
              <w:rPr>
                <w:rFonts w:cs="Times New Roman"/>
              </w:rPr>
              <w:t>95% CI</w:t>
            </w:r>
          </w:p>
        </w:tc>
      </w:tr>
      <w:tr w:rsidR="00BD4CBF" w:rsidRPr="005E65E6" w:rsidTr="00A94596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Alzheimer’s disease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1.08</w:t>
            </w:r>
          </w:p>
        </w:tc>
      </w:tr>
      <w:tr w:rsidR="00BD4CBF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  <w:i/>
              </w:rPr>
            </w:pPr>
            <w:r w:rsidRPr="00A94596">
              <w:rPr>
                <w:rFonts w:cs="Times New Roman"/>
                <w:i/>
              </w:rPr>
              <w:t xml:space="preserve">APOE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0" w:type="auto"/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1.26</w:t>
            </w:r>
          </w:p>
        </w:tc>
      </w:tr>
      <w:tr w:rsidR="00BD4CBF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Schizophrenia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  <w:color w:val="000000"/>
              </w:rPr>
              <w:t>340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0.97</w:t>
            </w:r>
          </w:p>
        </w:tc>
        <w:tc>
          <w:tcPr>
            <w:tcW w:w="0" w:type="auto"/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1.10</w:t>
            </w:r>
          </w:p>
        </w:tc>
      </w:tr>
      <w:tr w:rsidR="00BD4CBF" w:rsidRPr="005E65E6" w:rsidTr="00A94596">
        <w:trPr>
          <w:trHeight w:val="29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Parkinson’s disease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BD4CBF" w:rsidRPr="00A94596" w:rsidRDefault="00BD4CBF" w:rsidP="00A94596">
            <w:pPr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180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1.32</w:t>
            </w:r>
          </w:p>
        </w:tc>
        <w:tc>
          <w:tcPr>
            <w:tcW w:w="0" w:type="auto"/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D4CBF" w:rsidRPr="00A94596" w:rsidRDefault="00BD4CBF" w:rsidP="00A94596">
            <w:pPr>
              <w:jc w:val="center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1.50</w:t>
            </w:r>
          </w:p>
        </w:tc>
      </w:tr>
      <w:tr w:rsidR="00BD4CBF" w:rsidRPr="005E65E6" w:rsidTr="00A94596">
        <w:trPr>
          <w:trHeight w:val="67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A94596">
              <w:rPr>
                <w:rFonts w:cs="Times New Roman"/>
              </w:rPr>
              <w:t>Height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BF" w:rsidRPr="00A94596" w:rsidRDefault="00BD4CBF" w:rsidP="00A94596">
            <w:pPr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12,732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A94596">
              <w:rPr>
                <w:rFonts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A94596">
              <w:rPr>
                <w:rFonts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D4CBF" w:rsidRPr="00A94596" w:rsidRDefault="00BD4CBF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A94596">
              <w:rPr>
                <w:rFonts w:cs="Times New Roman"/>
                <w:color w:val="000000"/>
              </w:rPr>
              <w:t>1.16</w:t>
            </w:r>
          </w:p>
        </w:tc>
      </w:tr>
    </w:tbl>
    <w:p w:rsidR="00BD4CBF" w:rsidRPr="00A94596" w:rsidRDefault="00BD4CBF" w:rsidP="00BD4CBF">
      <w:pPr>
        <w:rPr>
          <w:rFonts w:cs="Times New Roman"/>
          <w:bCs/>
          <w:shd w:val="clear" w:color="auto" w:fill="FFFFFF"/>
        </w:rPr>
      </w:pPr>
      <w:r w:rsidRPr="00A94596">
        <w:rPr>
          <w:rFonts w:cs="Times New Roman"/>
        </w:rPr>
        <w:t xml:space="preserve">The </w:t>
      </w:r>
      <w:r w:rsidRPr="00A94596">
        <w:rPr>
          <w:rFonts w:cs="Times New Roman"/>
          <w:i/>
        </w:rPr>
        <w:t>APOE-</w:t>
      </w:r>
      <w:r w:rsidRPr="00A94596">
        <w:rPr>
          <w:rFonts w:cs="Times New Roman"/>
        </w:rPr>
        <w:t xml:space="preserve">PRS is based rs429358 and rs7412, where each apoe4-allele increases risk (β: </w:t>
      </w:r>
      <w:r w:rsidRPr="00A94596">
        <w:rPr>
          <w:rFonts w:cs="Times New Roman"/>
          <w:bCs/>
          <w:shd w:val="clear" w:color="auto" w:fill="FFFFFF"/>
        </w:rPr>
        <w:t>1.327</w:t>
      </w:r>
      <w:r w:rsidRPr="00A94596">
        <w:rPr>
          <w:rFonts w:cs="Times New Roman"/>
        </w:rPr>
        <w:t>), while each apoe2-allele decreases risk (</w:t>
      </w:r>
      <w:proofErr w:type="gramStart"/>
      <w:r w:rsidRPr="00A94596">
        <w:rPr>
          <w:rFonts w:cs="Times New Roman"/>
        </w:rPr>
        <w:t>β:</w:t>
      </w:r>
      <w:r w:rsidRPr="00A94596">
        <w:rPr>
          <w:rFonts w:cs="Times New Roman"/>
          <w:shd w:val="clear" w:color="auto" w:fill="FFFFFF"/>
        </w:rPr>
        <w:t>-</w:t>
      </w:r>
      <w:proofErr w:type="gramEnd"/>
      <w:r w:rsidRPr="00A94596">
        <w:rPr>
          <w:rFonts w:cs="Times New Roman"/>
          <w:bCs/>
          <w:shd w:val="clear" w:color="auto" w:fill="FFFFFF"/>
        </w:rPr>
        <w:t>0.598) compared to apoe3.</w:t>
      </w:r>
    </w:p>
    <w:p w:rsidR="00BD4CBF" w:rsidRPr="00887E3E" w:rsidRDefault="00BD4CBF" w:rsidP="00BD4CBF">
      <w:pPr>
        <w:rPr>
          <w:rFonts w:cs="Times New Roman"/>
        </w:rPr>
      </w:pPr>
      <w:r w:rsidRPr="00A94596">
        <w:rPr>
          <w:rFonts w:cs="Times New Roman"/>
          <w:bCs/>
          <w:shd w:val="clear" w:color="auto" w:fill="FFFFFF"/>
        </w:rPr>
        <w:t xml:space="preserve">The logistic regression analyses were adjusted for </w:t>
      </w:r>
      <w:r w:rsidRPr="00A94596">
        <w:rPr>
          <w:rFonts w:cs="Times New Roman"/>
        </w:rPr>
        <w:t>sex, fractional ethnicity, and age at diagnosis</w:t>
      </w:r>
      <w:r w:rsidRPr="00A94596">
        <w:rPr>
          <w:rFonts w:cs="Times New Roman"/>
          <w:bCs/>
          <w:shd w:val="clear" w:color="auto" w:fill="FFFFFF"/>
        </w:rPr>
        <w:t xml:space="preserve"> </w:t>
      </w:r>
      <w:r w:rsidRPr="00A94596">
        <w:rPr>
          <w:rFonts w:cs="Times New Roman"/>
        </w:rPr>
        <w:t xml:space="preserve">through the use of a </w:t>
      </w:r>
      <w:r w:rsidRPr="00A94596">
        <w:rPr>
          <w:rFonts w:cs="Times New Roman"/>
          <w:bCs/>
          <w:shd w:val="clear" w:color="auto" w:fill="FFFFFF"/>
        </w:rPr>
        <w:t xml:space="preserve">propensity score. </w:t>
      </w:r>
      <w:r w:rsidRPr="00A94596">
        <w:rPr>
          <w:rFonts w:cs="Times New Roman"/>
        </w:rPr>
        <w:t>Abbreviations: No.: Number; aOR: adjusted Odds Ratio; %: percentage; CI: Confidence Interval</w:t>
      </w:r>
    </w:p>
    <w:p w:rsidR="00BD4CBF" w:rsidRDefault="00BD4CBF" w:rsidP="00BD4CBF"/>
    <w:p w:rsidR="00730C43" w:rsidRDefault="00730C43"/>
    <w:sectPr w:rsidR="0073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D" w:rsidRDefault="00426E0D" w:rsidP="00BD4CBF">
      <w:r>
        <w:separator/>
      </w:r>
    </w:p>
  </w:endnote>
  <w:endnote w:type="continuationSeparator" w:id="0">
    <w:p w:rsidR="00426E0D" w:rsidRDefault="00426E0D" w:rsidP="00BD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C6" w:rsidRDefault="00986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C6" w:rsidRDefault="00986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C6" w:rsidRDefault="0098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D" w:rsidRDefault="00426E0D" w:rsidP="00BD4CBF">
      <w:r>
        <w:separator/>
      </w:r>
    </w:p>
  </w:footnote>
  <w:footnote w:type="continuationSeparator" w:id="0">
    <w:p w:rsidR="00426E0D" w:rsidRDefault="00426E0D" w:rsidP="00BD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C6" w:rsidRDefault="00986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7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68C6" w:rsidRDefault="009868C6" w:rsidP="009868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Cynthia Kusters</w:t>
        </w:r>
      </w:p>
    </w:sdtContent>
  </w:sdt>
  <w:p w:rsidR="009868C6" w:rsidRDefault="009868C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C6" w:rsidRDefault="00986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F"/>
    <w:rsid w:val="00426E0D"/>
    <w:rsid w:val="00730C43"/>
    <w:rsid w:val="009868C6"/>
    <w:rsid w:val="00B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F046"/>
  <w15:chartTrackingRefBased/>
  <w15:docId w15:val="{991456FA-1280-4717-9064-798866D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B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Kusters-Rostoker</dc:creator>
  <cp:keywords/>
  <dc:description/>
  <cp:lastModifiedBy>Cynthia Kusters-Rostoker</cp:lastModifiedBy>
  <cp:revision>2</cp:revision>
  <dcterms:created xsi:type="dcterms:W3CDTF">2020-04-30T20:18:00Z</dcterms:created>
  <dcterms:modified xsi:type="dcterms:W3CDTF">2020-04-30T20:19:00Z</dcterms:modified>
</cp:coreProperties>
</file>