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D6" w:rsidRDefault="001310D6" w:rsidP="001310D6">
      <w:pPr>
        <w:spacing w:line="360" w:lineRule="auto"/>
        <w:jc w:val="both"/>
        <w:rPr>
          <w:b/>
          <w:lang w:val="en-US"/>
        </w:rPr>
      </w:pPr>
      <w:r w:rsidRPr="009B30CA">
        <w:rPr>
          <w:b/>
          <w:lang w:val="en-US"/>
        </w:rPr>
        <w:t>Supplemental Data:</w:t>
      </w:r>
    </w:p>
    <w:p w:rsidR="001310D6" w:rsidRPr="009B30CA" w:rsidRDefault="001310D6" w:rsidP="001310D6">
      <w:pPr>
        <w:spacing w:line="360" w:lineRule="auto"/>
        <w:jc w:val="both"/>
        <w:rPr>
          <w:b/>
          <w:lang w:val="en-US"/>
        </w:rPr>
      </w:pPr>
    </w:p>
    <w:p w:rsidR="001310D6" w:rsidRDefault="001310D6" w:rsidP="001310D6">
      <w:pPr>
        <w:spacing w:line="360" w:lineRule="auto"/>
        <w:jc w:val="both"/>
        <w:rPr>
          <w:b/>
          <w:lang w:val="en-US"/>
        </w:rPr>
      </w:pPr>
      <w:r w:rsidRPr="009B30CA">
        <w:rPr>
          <w:b/>
          <w:lang w:val="en-US"/>
        </w:rPr>
        <w:t>e-Methods:</w:t>
      </w:r>
    </w:p>
    <w:p w:rsidR="001310D6" w:rsidRPr="009B30CA" w:rsidRDefault="001310D6" w:rsidP="001310D6">
      <w:pPr>
        <w:spacing w:line="360" w:lineRule="auto"/>
        <w:jc w:val="both"/>
        <w:rPr>
          <w:b/>
          <w:lang w:val="en-US"/>
        </w:rPr>
      </w:pPr>
    </w:p>
    <w:p w:rsidR="00D55E4C" w:rsidRDefault="009C1858" w:rsidP="009C1858">
      <w:pPr>
        <w:spacing w:line="360" w:lineRule="auto"/>
        <w:jc w:val="both"/>
      </w:pPr>
      <w:bookmarkStart w:id="0" w:name="_GoBack"/>
      <w:bookmarkEnd w:id="0"/>
      <w:r w:rsidRPr="009C1858">
        <w:rPr>
          <w:lang w:val="en-US"/>
        </w:rPr>
        <w:t>MRI was acquired on a General Electric Sigma HDxt 3T scanner. For Patient 1, the acquisition included a 3D T1w sequence (FSPGR, fast spoiled gradient, TR 7.9 ms, TE 3.15 ms, 1.2 mm slices), T2* (GRE, TR 540 ms, TE 14.0 ms, 5mm slices) and FLAIR images (fluid attenuated inversion recovery, TR 7000 ms, TE 122.8 ms, TI 2250 ms, 5 mm slices). For Patient 2 and 3 the same acquisition was tried but failed due to excessive movement. Instead, fast T2w Propeller images were acquired (periodically rotated overlapping parallel lines with enhanced reconstruction, TR 6270 ms, TE 97 ms, 5mm slices), acquisition time 1:04 minutes for 26 slices. Multiple repeated acquisitions in different directions provided sufficient diagnostic quality scans without the need for anesthesia.</w:t>
      </w:r>
    </w:p>
    <w:sectPr w:rsidR="00D55E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D6"/>
    <w:rsid w:val="001310D6"/>
    <w:rsid w:val="00853489"/>
    <w:rsid w:val="009C1858"/>
    <w:rsid w:val="00FB1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5C99"/>
  <w15:chartTrackingRefBased/>
  <w15:docId w15:val="{11CAA4DE-0AD5-402C-822F-4E61176B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10D6"/>
    <w:pPr>
      <w:spacing w:after="0" w:line="240" w:lineRule="auto"/>
    </w:pPr>
    <w:rPr>
      <w:rFonts w:ascii="Times New Roman" w:eastAsia="Times New Roman" w:hAnsi="Times New Roman" w:cs="Times New Roman"/>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Catarino</dc:creator>
  <cp:keywords/>
  <dc:description/>
  <cp:lastModifiedBy>Claudia Catarino</cp:lastModifiedBy>
  <cp:revision>3</cp:revision>
  <dcterms:created xsi:type="dcterms:W3CDTF">2020-06-16T22:59:00Z</dcterms:created>
  <dcterms:modified xsi:type="dcterms:W3CDTF">2020-06-17T00:18:00Z</dcterms:modified>
</cp:coreProperties>
</file>