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5D" w:rsidRPr="00A510AA" w:rsidRDefault="00EB715D" w:rsidP="00115690">
      <w:pPr>
        <w:rPr>
          <w:rFonts w:ascii="Times New Roman" w:hAnsi="Times New Roman" w:cs="Times New Roman"/>
          <w:b/>
          <w:color w:val="4F81BD" w:themeColor="accent1"/>
          <w:sz w:val="24"/>
          <w:szCs w:val="24"/>
        </w:rPr>
      </w:pPr>
      <w:r w:rsidRPr="00A510AA">
        <w:rPr>
          <w:rFonts w:ascii="Times New Roman" w:hAnsi="Times New Roman" w:cs="Times New Roman"/>
          <w:b/>
          <w:color w:val="4F81BD" w:themeColor="accent1"/>
          <w:sz w:val="24"/>
          <w:szCs w:val="24"/>
        </w:rPr>
        <w:t xml:space="preserve">Variant filtration methodology: </w:t>
      </w:r>
    </w:p>
    <w:p w:rsidR="00EB715D" w:rsidRPr="00F833C4" w:rsidRDefault="00EB715D" w:rsidP="00115690">
      <w:pPr>
        <w:rPr>
          <w:rFonts w:ascii="Times New Roman" w:hAnsi="Times New Roman" w:cs="Times New Roman"/>
          <w:b/>
          <w:sz w:val="24"/>
          <w:szCs w:val="24"/>
        </w:rPr>
      </w:pPr>
    </w:p>
    <w:p w:rsidR="00EB715D" w:rsidRPr="00F833C4" w:rsidRDefault="00EB715D" w:rsidP="00115690">
      <w:pPr>
        <w:rPr>
          <w:rFonts w:ascii="Times New Roman" w:hAnsi="Times New Roman" w:cs="Times New Roman"/>
          <w:sz w:val="24"/>
          <w:szCs w:val="24"/>
        </w:rPr>
      </w:pPr>
      <w:r w:rsidRPr="00F833C4">
        <w:rPr>
          <w:rFonts w:ascii="Times New Roman" w:hAnsi="Times New Roman" w:cs="Times New Roman"/>
          <w:b/>
          <w:sz w:val="24"/>
          <w:szCs w:val="24"/>
        </w:rPr>
        <w:t>1.)</w:t>
      </w:r>
      <w:r w:rsidRPr="00F833C4">
        <w:rPr>
          <w:rFonts w:ascii="Times New Roman" w:hAnsi="Times New Roman" w:cs="Times New Roman"/>
          <w:sz w:val="24"/>
          <w:szCs w:val="24"/>
        </w:rPr>
        <w:t xml:space="preserve"> </w:t>
      </w:r>
      <w:r w:rsidRPr="00F833C4">
        <w:rPr>
          <w:rFonts w:ascii="Times New Roman" w:hAnsi="Times New Roman" w:cs="Times New Roman"/>
          <w:b/>
          <w:sz w:val="24"/>
          <w:szCs w:val="24"/>
        </w:rPr>
        <w:t>Likely pathogenic and pathogenic variants in the ClinVar</w:t>
      </w:r>
      <w:r w:rsidRPr="00F833C4">
        <w:rPr>
          <w:rFonts w:ascii="Times New Roman" w:hAnsi="Times New Roman" w:cs="Times New Roman"/>
          <w:sz w:val="24"/>
          <w:szCs w:val="24"/>
        </w:rPr>
        <w:t xml:space="preserve"> database were screened. We found three known pathogenic variants, which associate with a neurological phenotype, however all of them is associated with a recessive inheritance and none of them is compatible with the phenotype of the cases (</w:t>
      </w:r>
      <w:r w:rsidRPr="00F833C4">
        <w:rPr>
          <w:rFonts w:ascii="Times New Roman" w:hAnsi="Times New Roman" w:cs="Times New Roman"/>
          <w:i/>
          <w:sz w:val="24"/>
          <w:szCs w:val="24"/>
        </w:rPr>
        <w:t>TPP1</w:t>
      </w:r>
      <w:r w:rsidRPr="00F833C4">
        <w:rPr>
          <w:rFonts w:ascii="Times New Roman" w:hAnsi="Times New Roman" w:cs="Times New Roman"/>
          <w:sz w:val="24"/>
          <w:szCs w:val="24"/>
        </w:rPr>
        <w:t xml:space="preserve"> variant, neuronal lipofuscinosis; </w:t>
      </w:r>
      <w:r w:rsidRPr="00F833C4">
        <w:rPr>
          <w:rFonts w:ascii="Times New Roman" w:hAnsi="Times New Roman" w:cs="Times New Roman"/>
          <w:i/>
          <w:sz w:val="24"/>
          <w:szCs w:val="24"/>
        </w:rPr>
        <w:t xml:space="preserve">GCDH </w:t>
      </w:r>
      <w:r w:rsidRPr="00F833C4">
        <w:rPr>
          <w:rFonts w:ascii="Times New Roman" w:hAnsi="Times New Roman" w:cs="Times New Roman"/>
          <w:sz w:val="24"/>
          <w:szCs w:val="24"/>
        </w:rPr>
        <w:t xml:space="preserve">variant, glutaric aciduria type I., </w:t>
      </w:r>
      <w:r w:rsidRPr="00F833C4">
        <w:rPr>
          <w:rFonts w:ascii="Times New Roman" w:hAnsi="Times New Roman" w:cs="Times New Roman"/>
          <w:i/>
          <w:sz w:val="24"/>
          <w:szCs w:val="24"/>
        </w:rPr>
        <w:t xml:space="preserve">PRODH </w:t>
      </w:r>
      <w:r w:rsidRPr="00F833C4">
        <w:rPr>
          <w:rFonts w:ascii="Times New Roman" w:hAnsi="Times New Roman" w:cs="Times New Roman"/>
          <w:sz w:val="24"/>
          <w:szCs w:val="24"/>
        </w:rPr>
        <w:t xml:space="preserve">variant, hyperpolinemia). As the </w:t>
      </w:r>
      <w:r w:rsidRPr="00F833C4">
        <w:rPr>
          <w:rFonts w:ascii="Times New Roman" w:hAnsi="Times New Roman" w:cs="Times New Roman"/>
          <w:b/>
          <w:sz w:val="24"/>
          <w:szCs w:val="24"/>
        </w:rPr>
        <w:t xml:space="preserve">TPP1 </w:t>
      </w:r>
      <w:r w:rsidRPr="00F833C4">
        <w:rPr>
          <w:rFonts w:ascii="Times New Roman" w:hAnsi="Times New Roman" w:cs="Times New Roman"/>
          <w:sz w:val="24"/>
          <w:szCs w:val="24"/>
        </w:rPr>
        <w:t xml:space="preserve">variant is a stop gain mutation (NM_000391.4:c.622C&gt;T; </w:t>
      </w:r>
      <w:r w:rsidRPr="00F833C4">
        <w:rPr>
          <w:rFonts w:ascii="Times New Roman" w:hAnsi="Times New Roman" w:cs="Times New Roman"/>
          <w:b/>
          <w:sz w:val="24"/>
          <w:szCs w:val="24"/>
        </w:rPr>
        <w:t>p.Arg208Ter</w:t>
      </w:r>
      <w:r w:rsidRPr="00F833C4">
        <w:rPr>
          <w:rFonts w:ascii="Times New Roman" w:hAnsi="Times New Roman" w:cs="Times New Roman"/>
          <w:sz w:val="24"/>
          <w:szCs w:val="24"/>
        </w:rPr>
        <w:t xml:space="preserve">), we segregated this in the family. </w:t>
      </w:r>
    </w:p>
    <w:p w:rsidR="00EB715D" w:rsidRPr="00F833C4" w:rsidRDefault="00EB715D" w:rsidP="00115690">
      <w:pPr>
        <w:rPr>
          <w:rFonts w:ascii="Times New Roman" w:hAnsi="Times New Roman" w:cs="Times New Roman"/>
          <w:sz w:val="24"/>
          <w:szCs w:val="24"/>
        </w:rPr>
      </w:pPr>
      <w:bookmarkStart w:id="0" w:name="_GoBack"/>
      <w:bookmarkEnd w:id="0"/>
    </w:p>
    <w:p w:rsidR="00EB715D" w:rsidRPr="00F833C4" w:rsidRDefault="00EB715D" w:rsidP="00115690">
      <w:pPr>
        <w:rPr>
          <w:rFonts w:ascii="Times New Roman" w:hAnsi="Times New Roman" w:cs="Times New Roman"/>
          <w:sz w:val="24"/>
          <w:szCs w:val="24"/>
        </w:rPr>
      </w:pPr>
      <w:r w:rsidRPr="00F833C4">
        <w:rPr>
          <w:rFonts w:ascii="Times New Roman" w:hAnsi="Times New Roman" w:cs="Times New Roman"/>
          <w:b/>
          <w:sz w:val="24"/>
          <w:szCs w:val="24"/>
        </w:rPr>
        <w:t xml:space="preserve">2.) </w:t>
      </w:r>
      <w:r w:rsidRPr="00F833C4">
        <w:rPr>
          <w:rFonts w:ascii="Times New Roman" w:hAnsi="Times New Roman" w:cs="Times New Roman"/>
          <w:sz w:val="24"/>
          <w:szCs w:val="24"/>
        </w:rPr>
        <w:t xml:space="preserve">We filtered for the known </w:t>
      </w:r>
      <w:r w:rsidRPr="00F833C4">
        <w:rPr>
          <w:rFonts w:ascii="Times New Roman" w:hAnsi="Times New Roman" w:cs="Times New Roman"/>
          <w:b/>
          <w:sz w:val="24"/>
          <w:szCs w:val="24"/>
        </w:rPr>
        <w:t>NBIA genes</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PANK2</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PLA2G6</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C19orf12</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WDR45</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FA2H</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ATP13A2</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FTL</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CP</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DCAF17</w:t>
      </w:r>
      <w:r w:rsidRPr="00F833C4">
        <w:rPr>
          <w:rFonts w:ascii="Times New Roman" w:hAnsi="Times New Roman" w:cs="Times New Roman"/>
          <w:sz w:val="24"/>
          <w:szCs w:val="24"/>
        </w:rPr>
        <w:t xml:space="preserve">, </w:t>
      </w:r>
      <w:r w:rsidRPr="00F833C4">
        <w:rPr>
          <w:rFonts w:ascii="Times New Roman" w:hAnsi="Times New Roman" w:cs="Times New Roman"/>
          <w:i/>
          <w:sz w:val="24"/>
          <w:szCs w:val="24"/>
        </w:rPr>
        <w:t>COASY</w:t>
      </w:r>
      <w:r w:rsidRPr="00F833C4">
        <w:rPr>
          <w:rFonts w:ascii="Times New Roman" w:hAnsi="Times New Roman" w:cs="Times New Roman"/>
          <w:sz w:val="24"/>
          <w:szCs w:val="24"/>
        </w:rPr>
        <w:t xml:space="preserve">. Here, we applied a 5% MAF cutoff in the GnomAD, EXaC, 1000G European databases, but no other filtration was done. Intronic variants were also included. We found no other damaging variant, compatible with the pedigree only the already known heterozygous </w:t>
      </w:r>
      <w:r w:rsidRPr="00F833C4">
        <w:rPr>
          <w:rFonts w:ascii="Times New Roman" w:hAnsi="Times New Roman" w:cs="Times New Roman"/>
          <w:i/>
          <w:sz w:val="24"/>
          <w:szCs w:val="24"/>
        </w:rPr>
        <w:t xml:space="preserve">C19Orf12 </w:t>
      </w:r>
      <w:r w:rsidRPr="00F833C4">
        <w:rPr>
          <w:rFonts w:ascii="Times New Roman" w:hAnsi="Times New Roman" w:cs="Times New Roman"/>
          <w:sz w:val="24"/>
          <w:szCs w:val="24"/>
        </w:rPr>
        <w:t xml:space="preserve">nonsense variant, and </w:t>
      </w:r>
      <w:r w:rsidRPr="00F833C4">
        <w:rPr>
          <w:rFonts w:ascii="Times New Roman" w:hAnsi="Times New Roman" w:cs="Times New Roman"/>
          <w:i/>
          <w:sz w:val="24"/>
          <w:szCs w:val="24"/>
        </w:rPr>
        <w:t xml:space="preserve">CP </w:t>
      </w:r>
      <w:r w:rsidRPr="00F833C4">
        <w:rPr>
          <w:rFonts w:ascii="Times New Roman" w:hAnsi="Times New Roman" w:cs="Times New Roman"/>
          <w:sz w:val="24"/>
          <w:szCs w:val="24"/>
        </w:rPr>
        <w:t xml:space="preserve">frameshift deletion. </w:t>
      </w:r>
    </w:p>
    <w:p w:rsidR="00EB715D" w:rsidRPr="00F833C4" w:rsidRDefault="00EB715D" w:rsidP="00115690">
      <w:pPr>
        <w:rPr>
          <w:rFonts w:ascii="Times New Roman" w:hAnsi="Times New Roman" w:cs="Times New Roman"/>
          <w:sz w:val="24"/>
          <w:szCs w:val="24"/>
        </w:rPr>
      </w:pPr>
    </w:p>
    <w:p w:rsidR="00EB715D" w:rsidRPr="00F833C4" w:rsidRDefault="00EB715D" w:rsidP="00115690">
      <w:pPr>
        <w:rPr>
          <w:rFonts w:ascii="Times New Roman" w:hAnsi="Times New Roman" w:cs="Times New Roman"/>
          <w:sz w:val="24"/>
          <w:szCs w:val="24"/>
        </w:rPr>
      </w:pPr>
      <w:r w:rsidRPr="00F833C4">
        <w:rPr>
          <w:rFonts w:ascii="Times New Roman" w:hAnsi="Times New Roman" w:cs="Times New Roman"/>
          <w:b/>
          <w:sz w:val="24"/>
          <w:szCs w:val="24"/>
        </w:rPr>
        <w:t>3.)</w:t>
      </w:r>
      <w:r w:rsidRPr="00F833C4">
        <w:rPr>
          <w:rFonts w:ascii="Times New Roman" w:hAnsi="Times New Roman" w:cs="Times New Roman"/>
          <w:sz w:val="24"/>
          <w:szCs w:val="24"/>
        </w:rPr>
        <w:t xml:space="preserve"> We filtered for a </w:t>
      </w:r>
      <w:r w:rsidRPr="00F833C4">
        <w:rPr>
          <w:rFonts w:ascii="Times New Roman" w:hAnsi="Times New Roman" w:cs="Times New Roman"/>
          <w:b/>
          <w:sz w:val="24"/>
          <w:szCs w:val="24"/>
        </w:rPr>
        <w:t>second variant in the intronic region of the 10 NBIA genes</w:t>
      </w:r>
      <w:r w:rsidRPr="00F833C4">
        <w:rPr>
          <w:rFonts w:ascii="Times New Roman" w:hAnsi="Times New Roman" w:cs="Times New Roman"/>
          <w:sz w:val="24"/>
          <w:szCs w:val="24"/>
        </w:rPr>
        <w:t>, which is inherited from the mother, but not present in the father. The purpose was to filter for a potential compound heterozygous variant, which was missed during the above filtrations. We found total 245 intronic variants with MAF&lt;5%. There were 38 variants, which was compatible with an inheritance from the mother, or a de novo status. All variant had a CADD score below 15, and there was no predicted splice site, miRNA, or small RNA binding site. There was one predicted transcription factor site (</w:t>
      </w:r>
      <w:r w:rsidRPr="00F833C4">
        <w:rPr>
          <w:rFonts w:ascii="Times New Roman" w:hAnsi="Times New Roman" w:cs="Times New Roman"/>
          <w:i/>
          <w:sz w:val="24"/>
          <w:szCs w:val="24"/>
        </w:rPr>
        <w:t>DCAF17</w:t>
      </w:r>
      <w:r w:rsidRPr="00F833C4">
        <w:rPr>
          <w:rFonts w:ascii="Times New Roman" w:hAnsi="Times New Roman" w:cs="Times New Roman"/>
          <w:sz w:val="24"/>
          <w:szCs w:val="24"/>
        </w:rPr>
        <w:t xml:space="preserve"> gene ENST00000375255.3:c.1183-484G&gt;T V$POU6F1_01), however with a low GWaVa score (0.29), and minimal conservation score. Specifically, there was no predicted splice site, miRNA, small RNA, transcription factor binding site in the </w:t>
      </w:r>
      <w:r w:rsidRPr="00F833C4">
        <w:rPr>
          <w:rFonts w:ascii="Times New Roman" w:hAnsi="Times New Roman" w:cs="Times New Roman"/>
          <w:i/>
          <w:sz w:val="24"/>
          <w:szCs w:val="24"/>
        </w:rPr>
        <w:t>CP</w:t>
      </w:r>
      <w:r w:rsidRPr="00F833C4">
        <w:rPr>
          <w:rFonts w:ascii="Times New Roman" w:hAnsi="Times New Roman" w:cs="Times New Roman"/>
          <w:sz w:val="24"/>
          <w:szCs w:val="24"/>
        </w:rPr>
        <w:t xml:space="preserve"> or </w:t>
      </w:r>
      <w:r w:rsidRPr="00F833C4">
        <w:rPr>
          <w:rFonts w:ascii="Times New Roman" w:hAnsi="Times New Roman" w:cs="Times New Roman"/>
          <w:i/>
          <w:sz w:val="24"/>
          <w:szCs w:val="24"/>
        </w:rPr>
        <w:t>C19Orf12</w:t>
      </w:r>
      <w:r w:rsidRPr="00F833C4">
        <w:rPr>
          <w:rFonts w:ascii="Times New Roman" w:hAnsi="Times New Roman" w:cs="Times New Roman"/>
          <w:sz w:val="24"/>
          <w:szCs w:val="24"/>
        </w:rPr>
        <w:t xml:space="preserve"> gene. All variants identified in this two genes had minor conservation, low GWAVA and CADD scores. </w:t>
      </w:r>
    </w:p>
    <w:p w:rsidR="00EB715D" w:rsidRPr="00F833C4" w:rsidRDefault="00EB715D" w:rsidP="00115690">
      <w:pPr>
        <w:rPr>
          <w:rFonts w:ascii="Times New Roman" w:hAnsi="Times New Roman" w:cs="Times New Roman"/>
          <w:sz w:val="24"/>
          <w:szCs w:val="24"/>
        </w:rPr>
      </w:pPr>
    </w:p>
    <w:p w:rsidR="00EB715D" w:rsidRPr="00F833C4" w:rsidRDefault="00EB715D" w:rsidP="00115690">
      <w:pPr>
        <w:rPr>
          <w:rFonts w:ascii="Times New Roman" w:hAnsi="Times New Roman" w:cs="Times New Roman"/>
          <w:sz w:val="24"/>
          <w:szCs w:val="24"/>
        </w:rPr>
      </w:pPr>
      <w:r w:rsidRPr="00F833C4">
        <w:rPr>
          <w:rFonts w:ascii="Times New Roman" w:hAnsi="Times New Roman" w:cs="Times New Roman"/>
          <w:b/>
          <w:sz w:val="24"/>
          <w:szCs w:val="24"/>
        </w:rPr>
        <w:t>4.)</w:t>
      </w:r>
      <w:r w:rsidRPr="00F833C4">
        <w:rPr>
          <w:rFonts w:ascii="Times New Roman" w:hAnsi="Times New Roman" w:cs="Times New Roman"/>
          <w:sz w:val="24"/>
          <w:szCs w:val="24"/>
        </w:rPr>
        <w:t xml:space="preserve"> We performed a moderately stringent filtration in an </w:t>
      </w:r>
      <w:r w:rsidRPr="00F833C4">
        <w:rPr>
          <w:rFonts w:ascii="Times New Roman" w:hAnsi="Times New Roman" w:cs="Times New Roman"/>
          <w:b/>
          <w:sz w:val="24"/>
          <w:szCs w:val="24"/>
        </w:rPr>
        <w:t>autosomal dominant model</w:t>
      </w:r>
      <w:r w:rsidRPr="00F833C4">
        <w:rPr>
          <w:rFonts w:ascii="Times New Roman" w:hAnsi="Times New Roman" w:cs="Times New Roman"/>
          <w:sz w:val="24"/>
          <w:szCs w:val="24"/>
        </w:rPr>
        <w:t xml:space="preserve"> on the trio with the Genesis application. Filter criteria were as follows: ExAC: &lt; 0.001; Genesis Allele count HET/HOM &lt;6/6; GnomAD &lt;0.001; Inheritance: AD; Quality: DP&gt;8, GQ&gt;50, QUAL &gt;35, Variant class: Lof (transcript ablation, splice acceptor, splice donor, stop gain, frameshift, stop lost, start lost); transcript amplification, inframe INDEL, missense, splice region, inclopete terminal codon, stop retained. </w:t>
      </w:r>
    </w:p>
    <w:p w:rsidR="00EB715D" w:rsidRPr="00F833C4" w:rsidRDefault="00EB715D" w:rsidP="00115690">
      <w:pPr>
        <w:rPr>
          <w:rFonts w:ascii="Times New Roman" w:hAnsi="Times New Roman" w:cs="Times New Roman"/>
          <w:sz w:val="24"/>
          <w:szCs w:val="24"/>
        </w:rPr>
      </w:pPr>
      <w:r w:rsidRPr="00F833C4">
        <w:rPr>
          <w:rFonts w:ascii="Times New Roman" w:hAnsi="Times New Roman" w:cs="Times New Roman"/>
          <w:sz w:val="24"/>
          <w:szCs w:val="24"/>
        </w:rPr>
        <w:t xml:space="preserve">This filtration resulted in total 243 variants in 218 genes. From these, 38 genes were previously linked to a Mendelian disorder. Only the above mentioned </w:t>
      </w:r>
      <w:r w:rsidRPr="00F833C4">
        <w:rPr>
          <w:rFonts w:ascii="Times New Roman" w:hAnsi="Times New Roman" w:cs="Times New Roman"/>
          <w:i/>
          <w:sz w:val="24"/>
          <w:szCs w:val="24"/>
        </w:rPr>
        <w:t xml:space="preserve">C19Orf12 </w:t>
      </w:r>
      <w:r w:rsidRPr="00F833C4">
        <w:rPr>
          <w:rFonts w:ascii="Times New Roman" w:hAnsi="Times New Roman" w:cs="Times New Roman"/>
          <w:sz w:val="24"/>
          <w:szCs w:val="24"/>
        </w:rPr>
        <w:t xml:space="preserve">and </w:t>
      </w:r>
      <w:r w:rsidRPr="00F833C4">
        <w:rPr>
          <w:rFonts w:ascii="Times New Roman" w:hAnsi="Times New Roman" w:cs="Times New Roman"/>
          <w:i/>
          <w:sz w:val="24"/>
          <w:szCs w:val="24"/>
        </w:rPr>
        <w:t xml:space="preserve">CP </w:t>
      </w:r>
      <w:r w:rsidRPr="00F833C4">
        <w:rPr>
          <w:rFonts w:ascii="Times New Roman" w:hAnsi="Times New Roman" w:cs="Times New Roman"/>
          <w:sz w:val="24"/>
          <w:szCs w:val="24"/>
        </w:rPr>
        <w:t>variants emerged, which are compatible with an NBIA phenotype. Other rare, damaging variants were identified in further eight genes, however none of them is compatible with the phenotype [</w:t>
      </w:r>
      <w:r w:rsidRPr="00F833C4">
        <w:rPr>
          <w:rFonts w:ascii="Times New Roman" w:hAnsi="Times New Roman" w:cs="Times New Roman"/>
          <w:i/>
          <w:sz w:val="24"/>
          <w:szCs w:val="24"/>
        </w:rPr>
        <w:t>ERLIN2</w:t>
      </w:r>
      <w:r w:rsidRPr="00F833C4">
        <w:rPr>
          <w:rFonts w:ascii="Times New Roman" w:hAnsi="Times New Roman" w:cs="Times New Roman"/>
          <w:sz w:val="24"/>
          <w:szCs w:val="24"/>
        </w:rPr>
        <w:t xml:space="preserve"> - spastic paraplegia 18 (AR); </w:t>
      </w:r>
      <w:r w:rsidRPr="00F833C4">
        <w:rPr>
          <w:rFonts w:ascii="Times New Roman" w:hAnsi="Times New Roman" w:cs="Times New Roman"/>
          <w:i/>
          <w:sz w:val="24"/>
          <w:szCs w:val="24"/>
        </w:rPr>
        <w:t xml:space="preserve">ATXN2 </w:t>
      </w:r>
      <w:r w:rsidRPr="00F833C4">
        <w:rPr>
          <w:rFonts w:ascii="Times New Roman" w:hAnsi="Times New Roman" w:cs="Times New Roman"/>
          <w:sz w:val="24"/>
          <w:szCs w:val="24"/>
        </w:rPr>
        <w:t xml:space="preserve">-spinocerebellar ataxia 2 (AD trinucleotide repeat disease); </w:t>
      </w:r>
      <w:r w:rsidRPr="00F833C4">
        <w:rPr>
          <w:rFonts w:ascii="Times New Roman" w:hAnsi="Times New Roman" w:cs="Times New Roman"/>
          <w:i/>
          <w:sz w:val="24"/>
          <w:szCs w:val="24"/>
        </w:rPr>
        <w:t xml:space="preserve">DNMT1 </w:t>
      </w:r>
      <w:r w:rsidRPr="00F833C4">
        <w:rPr>
          <w:rFonts w:ascii="Times New Roman" w:hAnsi="Times New Roman" w:cs="Times New Roman"/>
          <w:sz w:val="24"/>
          <w:szCs w:val="24"/>
        </w:rPr>
        <w:t xml:space="preserve">- autosomal dominant cerebellar ataxia, deafness, and narcolepsy; </w:t>
      </w:r>
      <w:r w:rsidRPr="00F833C4">
        <w:rPr>
          <w:rFonts w:ascii="Times New Roman" w:hAnsi="Times New Roman" w:cs="Times New Roman"/>
          <w:i/>
          <w:sz w:val="24"/>
          <w:szCs w:val="24"/>
        </w:rPr>
        <w:t xml:space="preserve">LOR </w:t>
      </w:r>
      <w:r w:rsidRPr="00F833C4">
        <w:rPr>
          <w:rFonts w:ascii="Times New Roman" w:hAnsi="Times New Roman" w:cs="Times New Roman"/>
          <w:sz w:val="24"/>
          <w:szCs w:val="24"/>
        </w:rPr>
        <w:t xml:space="preserve">- Vohwinkel syndrome with ichthyosis (AD); </w:t>
      </w:r>
      <w:r w:rsidRPr="00F833C4">
        <w:rPr>
          <w:rFonts w:ascii="Times New Roman" w:hAnsi="Times New Roman" w:cs="Times New Roman"/>
          <w:i/>
          <w:sz w:val="24"/>
          <w:szCs w:val="24"/>
        </w:rPr>
        <w:t xml:space="preserve">PTPRQ </w:t>
      </w:r>
      <w:r w:rsidRPr="00F833C4">
        <w:rPr>
          <w:rFonts w:ascii="Times New Roman" w:hAnsi="Times New Roman" w:cs="Times New Roman"/>
          <w:sz w:val="24"/>
          <w:szCs w:val="24"/>
        </w:rPr>
        <w:t xml:space="preserve">- deafness 73 (AD), deafness 84A (AR); </w:t>
      </w:r>
      <w:r w:rsidRPr="00F833C4">
        <w:rPr>
          <w:rFonts w:ascii="Times New Roman" w:hAnsi="Times New Roman" w:cs="Times New Roman"/>
          <w:i/>
          <w:sz w:val="24"/>
          <w:szCs w:val="24"/>
        </w:rPr>
        <w:t xml:space="preserve">SEC23B </w:t>
      </w:r>
      <w:r w:rsidRPr="00F833C4">
        <w:rPr>
          <w:rFonts w:ascii="Times New Roman" w:hAnsi="Times New Roman" w:cs="Times New Roman"/>
          <w:sz w:val="24"/>
          <w:szCs w:val="24"/>
        </w:rPr>
        <w:t xml:space="preserve">-Cowden syndrome 7 (AD), Dyserythropoietic anemia, congenital, type II (AR); </w:t>
      </w:r>
      <w:r w:rsidRPr="00F833C4">
        <w:rPr>
          <w:rFonts w:ascii="Times New Roman" w:hAnsi="Times New Roman" w:cs="Times New Roman"/>
          <w:i/>
          <w:sz w:val="24"/>
          <w:szCs w:val="24"/>
        </w:rPr>
        <w:t xml:space="preserve">SLC3A1 </w:t>
      </w:r>
      <w:r w:rsidRPr="00F833C4">
        <w:rPr>
          <w:rFonts w:ascii="Times New Roman" w:hAnsi="Times New Roman" w:cs="Times New Roman"/>
          <w:sz w:val="24"/>
          <w:szCs w:val="24"/>
        </w:rPr>
        <w:t xml:space="preserve">- cystinuria (AD, AR); </w:t>
      </w:r>
      <w:r w:rsidRPr="00F833C4">
        <w:rPr>
          <w:rFonts w:ascii="Times New Roman" w:hAnsi="Times New Roman" w:cs="Times New Roman"/>
          <w:i/>
          <w:sz w:val="24"/>
          <w:szCs w:val="24"/>
        </w:rPr>
        <w:t xml:space="preserve">UNC45B </w:t>
      </w:r>
      <w:r w:rsidRPr="00F833C4">
        <w:rPr>
          <w:rFonts w:ascii="Times New Roman" w:hAnsi="Times New Roman" w:cs="Times New Roman"/>
          <w:sz w:val="24"/>
          <w:szCs w:val="24"/>
        </w:rPr>
        <w:t xml:space="preserve">- cataract 43 (AD)]. </w:t>
      </w:r>
    </w:p>
    <w:p w:rsidR="00EB715D" w:rsidRPr="00F833C4" w:rsidRDefault="00EB715D" w:rsidP="00115690">
      <w:pPr>
        <w:rPr>
          <w:rFonts w:ascii="Times New Roman" w:hAnsi="Times New Roman" w:cs="Times New Roman"/>
          <w:sz w:val="24"/>
          <w:szCs w:val="24"/>
        </w:rPr>
      </w:pPr>
    </w:p>
    <w:p w:rsidR="00EB715D" w:rsidRPr="00F833C4" w:rsidRDefault="00EB715D" w:rsidP="00115690">
      <w:pPr>
        <w:rPr>
          <w:rFonts w:ascii="Times New Roman" w:hAnsi="Times New Roman" w:cs="Times New Roman"/>
          <w:sz w:val="24"/>
          <w:szCs w:val="24"/>
        </w:rPr>
      </w:pPr>
    </w:p>
    <w:p w:rsidR="00EB715D" w:rsidRPr="00F833C4" w:rsidRDefault="00EB715D" w:rsidP="00115690">
      <w:pPr>
        <w:rPr>
          <w:rFonts w:ascii="Times New Roman" w:hAnsi="Times New Roman" w:cs="Times New Roman"/>
          <w:sz w:val="24"/>
          <w:szCs w:val="24"/>
        </w:rPr>
      </w:pPr>
      <w:r w:rsidRPr="00F833C4">
        <w:rPr>
          <w:rFonts w:ascii="Times New Roman" w:hAnsi="Times New Roman" w:cs="Times New Roman"/>
          <w:b/>
          <w:sz w:val="24"/>
          <w:szCs w:val="24"/>
        </w:rPr>
        <w:lastRenderedPageBreak/>
        <w:t xml:space="preserve">5.) </w:t>
      </w:r>
      <w:r w:rsidRPr="00F833C4">
        <w:rPr>
          <w:rFonts w:ascii="Times New Roman" w:hAnsi="Times New Roman" w:cs="Times New Roman"/>
          <w:sz w:val="24"/>
          <w:szCs w:val="24"/>
        </w:rPr>
        <w:t xml:space="preserve">We filtered for rare, possibly damaging </w:t>
      </w:r>
      <w:r w:rsidRPr="00F833C4">
        <w:rPr>
          <w:rFonts w:ascii="Times New Roman" w:hAnsi="Times New Roman" w:cs="Times New Roman"/>
          <w:b/>
          <w:sz w:val="24"/>
          <w:szCs w:val="24"/>
        </w:rPr>
        <w:t>de novo variants</w:t>
      </w:r>
      <w:r w:rsidRPr="00F833C4">
        <w:rPr>
          <w:rFonts w:ascii="Times New Roman" w:hAnsi="Times New Roman" w:cs="Times New Roman"/>
          <w:sz w:val="24"/>
          <w:szCs w:val="24"/>
        </w:rPr>
        <w:t xml:space="preserve"> in the index case. (ExAc &lt; 0.001; Genesis allele count &lt;6; GnomAd &lt; 0.001; Inheritance pattern: de novo; DP &gt;8; GQ &gt; 50; QUAL &gt; 35; Loss of function/missense/transcript amplification/ inframe indel/splice region/incomplete terminal codon/stop retained). Total 99 variant was identified compatible with a possible de novo inheritence. The high number of potential de novo variants is the result of the filtration method (filtration was not performed on genomic VCFs), but this way we do not look over a potential true positive de novo variant. From these, variants in 10 genes were found to associate with a Mendelian disorder. None of the genes were compatible with a disorder similar to the NBIA phenotype [</w:t>
      </w:r>
      <w:r w:rsidRPr="00F833C4">
        <w:rPr>
          <w:rFonts w:ascii="Times New Roman" w:hAnsi="Times New Roman" w:cs="Times New Roman"/>
          <w:i/>
          <w:sz w:val="24"/>
          <w:szCs w:val="24"/>
        </w:rPr>
        <w:t>LOR</w:t>
      </w:r>
      <w:r w:rsidRPr="00F833C4">
        <w:rPr>
          <w:rFonts w:ascii="Times New Roman" w:hAnsi="Times New Roman" w:cs="Times New Roman"/>
          <w:sz w:val="24"/>
          <w:szCs w:val="24"/>
        </w:rPr>
        <w:t xml:space="preserve"> - Vohwinkel syndrome (AD), </w:t>
      </w:r>
      <w:r w:rsidRPr="00F833C4">
        <w:rPr>
          <w:rFonts w:ascii="Times New Roman" w:hAnsi="Times New Roman" w:cs="Times New Roman"/>
          <w:i/>
          <w:sz w:val="24"/>
          <w:szCs w:val="24"/>
        </w:rPr>
        <w:t xml:space="preserve">ANTXR2 </w:t>
      </w:r>
      <w:r w:rsidRPr="00F833C4">
        <w:rPr>
          <w:rFonts w:ascii="Times New Roman" w:hAnsi="Times New Roman" w:cs="Times New Roman"/>
          <w:sz w:val="24"/>
          <w:szCs w:val="24"/>
        </w:rPr>
        <w:t xml:space="preserve">- Hyaline fibromatosis syndrome (AR), </w:t>
      </w:r>
      <w:r w:rsidRPr="00F833C4">
        <w:rPr>
          <w:rFonts w:ascii="Times New Roman" w:hAnsi="Times New Roman" w:cs="Times New Roman"/>
          <w:i/>
          <w:sz w:val="24"/>
          <w:szCs w:val="24"/>
        </w:rPr>
        <w:t xml:space="preserve">LARP7- </w:t>
      </w:r>
      <w:r w:rsidRPr="00F833C4">
        <w:rPr>
          <w:rFonts w:ascii="Times New Roman" w:hAnsi="Times New Roman" w:cs="Times New Roman"/>
          <w:sz w:val="24"/>
          <w:szCs w:val="24"/>
        </w:rPr>
        <w:t xml:space="preserve">Alazami syndrome (AR), </w:t>
      </w:r>
      <w:r w:rsidRPr="00F833C4">
        <w:rPr>
          <w:rFonts w:ascii="Times New Roman" w:hAnsi="Times New Roman" w:cs="Times New Roman"/>
          <w:i/>
          <w:sz w:val="24"/>
          <w:szCs w:val="24"/>
        </w:rPr>
        <w:t xml:space="preserve">C2CD3 </w:t>
      </w:r>
      <w:r w:rsidRPr="00F833C4">
        <w:rPr>
          <w:rFonts w:ascii="Times New Roman" w:hAnsi="Times New Roman" w:cs="Times New Roman"/>
          <w:sz w:val="24"/>
          <w:szCs w:val="24"/>
        </w:rPr>
        <w:t xml:space="preserve">- orofaciodigital syndrome XIV (AR), </w:t>
      </w:r>
      <w:r w:rsidRPr="00F833C4">
        <w:rPr>
          <w:rFonts w:ascii="Times New Roman" w:hAnsi="Times New Roman" w:cs="Times New Roman"/>
          <w:i/>
          <w:sz w:val="24"/>
          <w:szCs w:val="24"/>
        </w:rPr>
        <w:t xml:space="preserve">ALG8 </w:t>
      </w:r>
      <w:r w:rsidRPr="00F833C4">
        <w:rPr>
          <w:rFonts w:ascii="Times New Roman" w:hAnsi="Times New Roman" w:cs="Times New Roman"/>
          <w:sz w:val="24"/>
          <w:szCs w:val="24"/>
        </w:rPr>
        <w:t xml:space="preserve">- congenital disorder of glycosylation type Ih (AR), </w:t>
      </w:r>
      <w:r w:rsidRPr="00F833C4">
        <w:rPr>
          <w:rFonts w:ascii="Times New Roman" w:hAnsi="Times New Roman" w:cs="Times New Roman"/>
          <w:i/>
          <w:sz w:val="24"/>
          <w:szCs w:val="24"/>
        </w:rPr>
        <w:t xml:space="preserve">MMAB </w:t>
      </w:r>
      <w:r w:rsidRPr="00F833C4">
        <w:rPr>
          <w:rFonts w:ascii="Times New Roman" w:hAnsi="Times New Roman" w:cs="Times New Roman"/>
          <w:sz w:val="24"/>
          <w:szCs w:val="24"/>
        </w:rPr>
        <w:t xml:space="preserve">- methylmalonic aciduria (AR), </w:t>
      </w:r>
      <w:r w:rsidRPr="00F833C4">
        <w:rPr>
          <w:rFonts w:ascii="Times New Roman" w:hAnsi="Times New Roman" w:cs="Times New Roman"/>
          <w:i/>
          <w:sz w:val="24"/>
          <w:szCs w:val="24"/>
        </w:rPr>
        <w:t xml:space="preserve">EDC3 </w:t>
      </w:r>
      <w:r w:rsidRPr="00F833C4">
        <w:rPr>
          <w:rFonts w:ascii="Times New Roman" w:hAnsi="Times New Roman" w:cs="Times New Roman"/>
          <w:sz w:val="24"/>
          <w:szCs w:val="24"/>
        </w:rPr>
        <w:t xml:space="preserve">- mental retardation 50 (AR), </w:t>
      </w:r>
      <w:r w:rsidRPr="00F833C4">
        <w:rPr>
          <w:rFonts w:ascii="Times New Roman" w:hAnsi="Times New Roman" w:cs="Times New Roman"/>
          <w:i/>
          <w:sz w:val="24"/>
          <w:szCs w:val="24"/>
        </w:rPr>
        <w:t xml:space="preserve">MPO </w:t>
      </w:r>
      <w:r w:rsidRPr="00F833C4">
        <w:rPr>
          <w:rFonts w:ascii="Times New Roman" w:hAnsi="Times New Roman" w:cs="Times New Roman"/>
          <w:sz w:val="24"/>
          <w:szCs w:val="24"/>
        </w:rPr>
        <w:t xml:space="preserve">- myeloperoxydase deficiency (AR), </w:t>
      </w:r>
      <w:r w:rsidRPr="00F833C4">
        <w:rPr>
          <w:rFonts w:ascii="Times New Roman" w:hAnsi="Times New Roman" w:cs="Times New Roman"/>
          <w:i/>
          <w:sz w:val="24"/>
          <w:szCs w:val="24"/>
        </w:rPr>
        <w:t xml:space="preserve">DNMT1 </w:t>
      </w:r>
      <w:r w:rsidRPr="00F833C4">
        <w:rPr>
          <w:rFonts w:ascii="Times New Roman" w:hAnsi="Times New Roman" w:cs="Times New Roman"/>
          <w:sz w:val="24"/>
          <w:szCs w:val="24"/>
        </w:rPr>
        <w:t xml:space="preserve">- autosomal dominant cerebellar ataxia, deafness and narcolepsy (AD), </w:t>
      </w:r>
      <w:r w:rsidRPr="00F833C4">
        <w:rPr>
          <w:rFonts w:ascii="Times New Roman" w:hAnsi="Times New Roman" w:cs="Times New Roman"/>
          <w:i/>
          <w:sz w:val="24"/>
          <w:szCs w:val="24"/>
        </w:rPr>
        <w:t xml:space="preserve">HLCS </w:t>
      </w:r>
      <w:r w:rsidRPr="00F833C4">
        <w:rPr>
          <w:rFonts w:ascii="Times New Roman" w:hAnsi="Times New Roman" w:cs="Times New Roman"/>
          <w:sz w:val="24"/>
          <w:szCs w:val="24"/>
        </w:rPr>
        <w:t xml:space="preserve">- holocarboxylase synthetase deficiency (AR)]. </w:t>
      </w:r>
    </w:p>
    <w:p w:rsidR="00EB715D" w:rsidRPr="00F833C4" w:rsidRDefault="00EB715D" w:rsidP="00115690">
      <w:pPr>
        <w:rPr>
          <w:rFonts w:ascii="Times New Roman" w:hAnsi="Times New Roman" w:cs="Times New Roman"/>
          <w:sz w:val="24"/>
          <w:szCs w:val="24"/>
        </w:rPr>
      </w:pPr>
    </w:p>
    <w:p w:rsidR="00EB715D" w:rsidRPr="00F833C4" w:rsidRDefault="00EB715D" w:rsidP="00115690">
      <w:pPr>
        <w:rPr>
          <w:rFonts w:ascii="Times New Roman" w:hAnsi="Times New Roman" w:cs="Times New Roman"/>
          <w:sz w:val="24"/>
          <w:szCs w:val="24"/>
        </w:rPr>
      </w:pPr>
      <w:r w:rsidRPr="00F833C4">
        <w:rPr>
          <w:rFonts w:ascii="Times New Roman" w:hAnsi="Times New Roman" w:cs="Times New Roman"/>
          <w:b/>
          <w:sz w:val="24"/>
          <w:szCs w:val="24"/>
        </w:rPr>
        <w:t xml:space="preserve">6.) </w:t>
      </w:r>
      <w:r w:rsidRPr="00F833C4">
        <w:rPr>
          <w:rFonts w:ascii="Times New Roman" w:hAnsi="Times New Roman" w:cs="Times New Roman"/>
          <w:sz w:val="24"/>
          <w:szCs w:val="24"/>
        </w:rPr>
        <w:t xml:space="preserve">We called </w:t>
      </w:r>
      <w:r w:rsidRPr="00F833C4">
        <w:rPr>
          <w:rFonts w:ascii="Times New Roman" w:hAnsi="Times New Roman" w:cs="Times New Roman"/>
          <w:b/>
          <w:sz w:val="24"/>
          <w:szCs w:val="24"/>
        </w:rPr>
        <w:t>CNVs</w:t>
      </w:r>
      <w:r w:rsidRPr="00F833C4">
        <w:rPr>
          <w:rFonts w:ascii="Times New Roman" w:hAnsi="Times New Roman" w:cs="Times New Roman"/>
          <w:sz w:val="24"/>
          <w:szCs w:val="24"/>
        </w:rPr>
        <w:t xml:space="preserve"> from the WGS data, and looked also at BAM files for possible structural variants in the ten NBIA gene. We used the WGS method of CNVkit. With the obtained coverage a possible binsize was 1500bp (i.e that means that larger than 1500basepair INDELs can be theoretically detected). NBIA genes were not affected by any detected CNV. Specifically, we did not detect a CNV in the C19Orf12 or CP genes. The exonic duplication in the </w:t>
      </w:r>
      <w:r w:rsidRPr="00F833C4">
        <w:rPr>
          <w:rFonts w:ascii="Times New Roman" w:hAnsi="Times New Roman" w:cs="Times New Roman"/>
          <w:i/>
          <w:sz w:val="24"/>
          <w:szCs w:val="24"/>
        </w:rPr>
        <w:t>PLA2G6</w:t>
      </w:r>
      <w:r w:rsidRPr="00F833C4">
        <w:rPr>
          <w:rFonts w:ascii="Times New Roman" w:hAnsi="Times New Roman" w:cs="Times New Roman"/>
          <w:sz w:val="24"/>
          <w:szCs w:val="24"/>
        </w:rPr>
        <w:t xml:space="preserve"> gene, detected by the MLPA, was probably not seen with the WES because this size of CNV was not large enough for the given mean coverage. </w:t>
      </w:r>
    </w:p>
    <w:p w:rsidR="00EB715D" w:rsidRPr="00F833C4" w:rsidRDefault="00EB715D" w:rsidP="00115690">
      <w:pPr>
        <w:rPr>
          <w:rFonts w:ascii="Times New Roman" w:hAnsi="Times New Roman" w:cs="Times New Roman"/>
          <w:sz w:val="24"/>
          <w:szCs w:val="24"/>
        </w:rPr>
      </w:pPr>
    </w:p>
    <w:p w:rsidR="00AB4971" w:rsidRPr="00F833C4" w:rsidRDefault="00EB715D" w:rsidP="00115690">
      <w:pPr>
        <w:rPr>
          <w:rFonts w:ascii="Times New Roman" w:hAnsi="Times New Roman" w:cs="Times New Roman"/>
          <w:sz w:val="24"/>
          <w:szCs w:val="24"/>
        </w:rPr>
      </w:pPr>
      <w:r w:rsidRPr="00F833C4">
        <w:rPr>
          <w:rFonts w:ascii="Times New Roman" w:hAnsi="Times New Roman" w:cs="Times New Roman"/>
          <w:b/>
          <w:sz w:val="24"/>
          <w:szCs w:val="24"/>
        </w:rPr>
        <w:t>7</w:t>
      </w:r>
      <w:r w:rsidRPr="00F833C4">
        <w:rPr>
          <w:rFonts w:ascii="Times New Roman" w:hAnsi="Times New Roman" w:cs="Times New Roman"/>
          <w:sz w:val="24"/>
          <w:szCs w:val="24"/>
        </w:rPr>
        <w:t xml:space="preserve">.) The artificial intelligence software </w:t>
      </w:r>
      <w:r w:rsidRPr="00F833C4">
        <w:rPr>
          <w:rFonts w:ascii="Times New Roman" w:hAnsi="Times New Roman" w:cs="Times New Roman"/>
          <w:b/>
          <w:sz w:val="24"/>
          <w:szCs w:val="24"/>
        </w:rPr>
        <w:t xml:space="preserve">Moon diploid </w:t>
      </w:r>
      <w:r w:rsidRPr="00F833C4">
        <w:rPr>
          <w:rFonts w:ascii="Times New Roman" w:hAnsi="Times New Roman" w:cs="Times New Roman"/>
          <w:sz w:val="24"/>
          <w:szCs w:val="24"/>
        </w:rPr>
        <w:t>(</w:t>
      </w:r>
      <w:hyperlink r:id="rId4">
        <w:r w:rsidRPr="00F833C4">
          <w:rPr>
            <w:rFonts w:ascii="Times New Roman" w:hAnsi="Times New Roman" w:cs="Times New Roman"/>
            <w:color w:val="1155CC"/>
            <w:sz w:val="24"/>
            <w:szCs w:val="24"/>
            <w:u w:val="single"/>
          </w:rPr>
          <w:t>http://www.diploid.com/moon</w:t>
        </w:r>
      </w:hyperlink>
      <w:r w:rsidRPr="00F833C4">
        <w:rPr>
          <w:rFonts w:ascii="Times New Roman" w:hAnsi="Times New Roman" w:cs="Times New Roman"/>
          <w:sz w:val="24"/>
          <w:szCs w:val="24"/>
        </w:rPr>
        <w:t xml:space="preserve">), and the </w:t>
      </w:r>
      <w:r w:rsidRPr="00F833C4">
        <w:rPr>
          <w:rFonts w:ascii="Times New Roman" w:hAnsi="Times New Roman" w:cs="Times New Roman"/>
          <w:b/>
          <w:sz w:val="24"/>
          <w:szCs w:val="24"/>
        </w:rPr>
        <w:t xml:space="preserve">TGEx </w:t>
      </w:r>
      <w:r w:rsidRPr="00F833C4">
        <w:rPr>
          <w:rFonts w:ascii="Times New Roman" w:hAnsi="Times New Roman" w:cs="Times New Roman"/>
          <w:sz w:val="24"/>
          <w:szCs w:val="24"/>
        </w:rPr>
        <w:t>(http://tgex.genecards.org/) was also used as a control for our filtering strategy with the following symptoms: generalized dystonia, neurodegeneration, iron accumulation in brain, Parkinsonism. No further relevant variant was identified by this way.</w:t>
      </w:r>
    </w:p>
    <w:sectPr w:rsidR="00AB4971" w:rsidRPr="00F83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15D"/>
    <w:rsid w:val="00115690"/>
    <w:rsid w:val="00735AF4"/>
    <w:rsid w:val="00A510AA"/>
    <w:rsid w:val="00AB4971"/>
    <w:rsid w:val="00EB715D"/>
    <w:rsid w:val="00F833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EA6C2-B400-47B4-B8EA-9DAF0009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EB715D"/>
    <w:pPr>
      <w:spacing w:after="0"/>
    </w:pPr>
    <w:rPr>
      <w:rFonts w:ascii="Arial" w:eastAsia="Arial" w:hAnsi="Arial" w:cs="Arial"/>
      <w:lang w:val="en"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ploid.com/moo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4717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medsol</dc:creator>
  <cp:lastModifiedBy>Péter Balicza</cp:lastModifiedBy>
  <cp:revision>5</cp:revision>
  <dcterms:created xsi:type="dcterms:W3CDTF">2020-02-13T20:33:00Z</dcterms:created>
  <dcterms:modified xsi:type="dcterms:W3CDTF">2020-03-20T10:24:00Z</dcterms:modified>
</cp:coreProperties>
</file>