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2A182" w14:textId="77777777" w:rsidR="00B05018" w:rsidRPr="00EF688A" w:rsidRDefault="00B05018" w:rsidP="00B05018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EF688A">
        <w:rPr>
          <w:rFonts w:ascii="Arial" w:hAnsi="Arial" w:cs="Arial"/>
          <w:b/>
          <w:caps/>
          <w:sz w:val="24"/>
          <w:szCs w:val="24"/>
          <w:lang w:val="en-US"/>
        </w:rPr>
        <w:t xml:space="preserve">FULL PATIENTS DESCRIPTION </w:t>
      </w:r>
    </w:p>
    <w:p w14:paraId="14EADA03" w14:textId="77777777" w:rsidR="00B05018" w:rsidRPr="003A428A" w:rsidRDefault="00B05018" w:rsidP="00B0501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05018">
        <w:rPr>
          <w:rFonts w:ascii="Arial" w:hAnsi="Arial" w:cs="Arial"/>
          <w:b/>
          <w:sz w:val="24"/>
          <w:szCs w:val="24"/>
          <w:lang w:val="en-US"/>
        </w:rPr>
        <w:t>Patient #1</w:t>
      </w:r>
      <w:r w:rsidRPr="0016498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505EAA">
        <w:rPr>
          <w:rFonts w:ascii="Arial" w:hAnsi="Arial" w:cs="Arial"/>
          <w:bCs/>
          <w:sz w:val="24"/>
          <w:szCs w:val="24"/>
          <w:lang w:val="en-US"/>
        </w:rPr>
        <w:t>(video 1, Figure 1a</w:t>
      </w:r>
      <w:r w:rsidRPr="0016498A">
        <w:rPr>
          <w:rFonts w:ascii="Arial" w:hAnsi="Arial" w:cs="Arial"/>
          <w:bCs/>
          <w:sz w:val="24"/>
          <w:szCs w:val="24"/>
          <w:lang w:val="en-US"/>
        </w:rPr>
        <w:t>)</w:t>
      </w:r>
      <w:r w:rsidRPr="007D297E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7D297E">
        <w:rPr>
          <w:rFonts w:ascii="Arial" w:hAnsi="Arial" w:cs="Arial"/>
          <w:sz w:val="24"/>
          <w:szCs w:val="24"/>
          <w:lang w:val="en-US"/>
        </w:rPr>
        <w:t xml:space="preserve">was a boy, the second </w:t>
      </w:r>
      <w:r w:rsidRPr="00174C41">
        <w:rPr>
          <w:rFonts w:ascii="Arial" w:hAnsi="Arial" w:cs="Arial"/>
          <w:sz w:val="24"/>
          <w:szCs w:val="24"/>
          <w:lang w:val="en-US"/>
        </w:rPr>
        <w:t>child of healthy parents. His</w:t>
      </w:r>
      <w:r w:rsidRPr="00DC6037">
        <w:rPr>
          <w:rFonts w:ascii="Arial" w:hAnsi="Arial" w:cs="Arial"/>
          <w:sz w:val="24"/>
          <w:szCs w:val="24"/>
          <w:lang w:val="en-US"/>
        </w:rPr>
        <w:t xml:space="preserve"> mother of Algerian-Tunisian origin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 and his father of Tunisian origin </w:t>
      </w:r>
      <w:r>
        <w:rPr>
          <w:rFonts w:ascii="Arial" w:hAnsi="Arial" w:cs="Arial"/>
          <w:sz w:val="24"/>
          <w:szCs w:val="24"/>
          <w:lang w:val="en-US"/>
        </w:rPr>
        <w:t>were unrelated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 (Fig. 1a). There was no significant family history. Spontaneous pregnancy ran without complications except a moderate right renal </w:t>
      </w:r>
      <w:proofErr w:type="spellStart"/>
      <w:r w:rsidRPr="003A428A">
        <w:rPr>
          <w:rFonts w:ascii="Arial" w:hAnsi="Arial" w:cs="Arial"/>
          <w:sz w:val="24"/>
          <w:szCs w:val="24"/>
          <w:lang w:val="en-US"/>
        </w:rPr>
        <w:t>pyelectasis</w:t>
      </w:r>
      <w:proofErr w:type="spellEnd"/>
      <w:r w:rsidRPr="003A428A">
        <w:rPr>
          <w:rFonts w:ascii="Arial" w:hAnsi="Arial" w:cs="Arial"/>
          <w:sz w:val="24"/>
          <w:szCs w:val="24"/>
          <w:lang w:val="en-US"/>
        </w:rPr>
        <w:t xml:space="preserve"> detected on the third trimester ultrasound. A premature </w:t>
      </w:r>
      <w:r>
        <w:rPr>
          <w:rFonts w:ascii="Arial" w:hAnsi="Arial" w:cs="Arial"/>
          <w:sz w:val="24"/>
          <w:szCs w:val="24"/>
          <w:lang w:val="en-US"/>
        </w:rPr>
        <w:t xml:space="preserve">onset of </w:t>
      </w:r>
      <w:proofErr w:type="spellStart"/>
      <w:r w:rsidRPr="003A428A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Pr="003A428A">
        <w:rPr>
          <w:rFonts w:ascii="Arial" w:hAnsi="Arial" w:cs="Arial"/>
          <w:sz w:val="24"/>
          <w:szCs w:val="24"/>
          <w:lang w:val="en-US"/>
        </w:rPr>
        <w:t xml:space="preserve"> at 3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 weeks of </w:t>
      </w:r>
      <w:r>
        <w:rPr>
          <w:rFonts w:ascii="Arial" w:hAnsi="Arial" w:cs="Arial"/>
          <w:sz w:val="24"/>
          <w:szCs w:val="24"/>
          <w:lang w:val="en-US"/>
        </w:rPr>
        <w:t>gestation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 was successfully treated by nifedipine. Patient #1 was born at 3</w:t>
      </w:r>
      <w:r>
        <w:rPr>
          <w:rFonts w:ascii="Arial" w:hAnsi="Arial" w:cs="Arial"/>
          <w:sz w:val="24"/>
          <w:szCs w:val="24"/>
          <w:lang w:val="en-US"/>
        </w:rPr>
        <w:t>6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 weeks</w:t>
      </w:r>
      <w:r>
        <w:rPr>
          <w:rFonts w:ascii="Arial" w:hAnsi="Arial" w:cs="Arial"/>
          <w:sz w:val="24"/>
          <w:szCs w:val="24"/>
          <w:lang w:val="en-US"/>
        </w:rPr>
        <w:t xml:space="preserve"> of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gestation </w:t>
      </w:r>
      <w:r w:rsidRPr="003A428A">
        <w:rPr>
          <w:rFonts w:ascii="Arial" w:hAnsi="Arial" w:cs="Arial"/>
          <w:sz w:val="24"/>
          <w:szCs w:val="24"/>
          <w:lang w:val="en-US"/>
        </w:rPr>
        <w:t>by spontaneous vaginal delivery with normal parameters: Apgar scores 9/9/9/8, birth weight 3,460 g (76</w:t>
      </w:r>
      <w:r w:rsidRPr="003A428A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3A428A">
        <w:rPr>
          <w:rFonts w:ascii="Arial" w:hAnsi="Arial" w:cs="Arial"/>
          <w:sz w:val="24"/>
          <w:szCs w:val="24"/>
          <w:lang w:val="en-US"/>
        </w:rPr>
        <w:t>percentile), length 50.5 cm (76</w:t>
      </w:r>
      <w:r w:rsidRPr="003A428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 percentile), occipital frontal circumference (OFC) 34 cm (41</w:t>
      </w:r>
      <w:r w:rsidRPr="003A428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 percentile). Respiratory distress and hypotonia occurred at 20 minutes of life requiring oxygen therapy and non-invasive ventilation (NIV). At three hours of life, the patient’s weak sucking required parenteral nutrition. The day after, physical examination revealed marked generalized stiffness, </w:t>
      </w:r>
      <w:r>
        <w:rPr>
          <w:rFonts w:ascii="Arial" w:hAnsi="Arial" w:cs="Arial"/>
          <w:sz w:val="24"/>
          <w:szCs w:val="24"/>
          <w:lang w:val="en-US"/>
        </w:rPr>
        <w:t>brisk tendon reflexes</w:t>
      </w:r>
      <w:r w:rsidRPr="003A428A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truncal hypotonia,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 tremor of limbs, absent spontaneous movements and absent eye contact, as well as irregular and weak respiratory movements associated with a constant moaning. During the following weeks, patient #1 needed a nasogastric tube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3A428A">
        <w:rPr>
          <w:rFonts w:ascii="Arial" w:hAnsi="Arial" w:cs="Arial"/>
          <w:sz w:val="24"/>
          <w:szCs w:val="24"/>
          <w:lang w:val="en-US"/>
        </w:rPr>
        <w:t>fter NIV removal</w:t>
      </w:r>
      <w:r>
        <w:rPr>
          <w:rFonts w:ascii="Arial" w:hAnsi="Arial" w:cs="Arial"/>
          <w:sz w:val="24"/>
          <w:szCs w:val="24"/>
          <w:lang w:val="en-US"/>
        </w:rPr>
        <w:t xml:space="preserve">, he required 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oxygen supply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 experienced several episodes of apnea and desaturation.</w:t>
      </w:r>
    </w:p>
    <w:p w14:paraId="10BA5A24" w14:textId="77777777" w:rsidR="00B05018" w:rsidRPr="003A428A" w:rsidRDefault="00B05018" w:rsidP="00B0501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A428A">
        <w:rPr>
          <w:rFonts w:ascii="Arial" w:hAnsi="Arial" w:cs="Arial"/>
          <w:sz w:val="24"/>
          <w:szCs w:val="24"/>
          <w:lang w:val="en-US"/>
        </w:rPr>
        <w:t>Brain MRI and magnetic resonance spectrometry performed at 8 and 42 days of life were normal. EEG recordings were initially normal (days 2, 4, 11 and 21), then showed at 2 months a slow, monotone and non-reactive activity without spatial organization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 amplitude and frequency were asymmetric with scarce spikes without epileptiform brain discharges. Brainstem auditory evoked responses </w:t>
      </w:r>
      <w:r>
        <w:rPr>
          <w:rFonts w:ascii="Arial" w:hAnsi="Arial" w:cs="Arial"/>
          <w:sz w:val="24"/>
          <w:szCs w:val="24"/>
          <w:lang w:val="en-US"/>
        </w:rPr>
        <w:t xml:space="preserve">(BEAR) 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were null on both ears despite stimulation up to 105 </w:t>
      </w:r>
      <w:proofErr w:type="spellStart"/>
      <w:r w:rsidRPr="003A428A">
        <w:rPr>
          <w:rFonts w:ascii="Arial" w:hAnsi="Arial" w:cs="Arial"/>
          <w:sz w:val="24"/>
          <w:szCs w:val="24"/>
          <w:lang w:val="en-US"/>
        </w:rPr>
        <w:t>dB.</w:t>
      </w:r>
      <w:proofErr w:type="spellEnd"/>
      <w:r w:rsidRPr="003A428A">
        <w:rPr>
          <w:rFonts w:ascii="Arial" w:hAnsi="Arial" w:cs="Arial"/>
          <w:sz w:val="24"/>
          <w:szCs w:val="24"/>
          <w:lang w:val="en-US"/>
        </w:rPr>
        <w:t xml:space="preserve"> PEV and ERG showed normal responses. EMG performed at 2 months of life showed a normal electromyographic </w:t>
      </w:r>
      <w:r w:rsidRPr="003A428A">
        <w:rPr>
          <w:rFonts w:ascii="Arial" w:hAnsi="Arial" w:cs="Arial"/>
          <w:sz w:val="24"/>
          <w:szCs w:val="24"/>
          <w:lang w:val="en-US"/>
        </w:rPr>
        <w:lastRenderedPageBreak/>
        <w:t xml:space="preserve">activity with a </w:t>
      </w:r>
      <w:r>
        <w:rPr>
          <w:rFonts w:ascii="Arial" w:hAnsi="Arial" w:cs="Arial"/>
          <w:sz w:val="24"/>
          <w:szCs w:val="24"/>
          <w:lang w:val="en-US"/>
        </w:rPr>
        <w:t xml:space="preserve">permanent 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plastic hypercontraction. Patient #1 received a trial of clonazepam, carbamazepine and chlorpromazine without improvement. He died at 4 months of cardio-respiratory arrest. </w:t>
      </w:r>
    </w:p>
    <w:p w14:paraId="5820E1A1" w14:textId="77777777" w:rsidR="00B05018" w:rsidRPr="003A428A" w:rsidRDefault="00B05018" w:rsidP="00B0501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95252">
        <w:rPr>
          <w:rFonts w:ascii="Arial" w:hAnsi="Arial" w:cs="Arial"/>
          <w:sz w:val="24"/>
          <w:szCs w:val="24"/>
          <w:lang w:val="en-US"/>
        </w:rPr>
        <w:t>K</w:t>
      </w:r>
      <w:r w:rsidRPr="007D297E">
        <w:rPr>
          <w:rFonts w:ascii="Arial" w:hAnsi="Arial" w:cs="Arial"/>
          <w:sz w:val="24"/>
          <w:szCs w:val="24"/>
          <w:lang w:val="en-US"/>
        </w:rPr>
        <w:t xml:space="preserve">aryotype and array-SNP </w:t>
      </w:r>
      <w:r w:rsidRPr="00E02CC6">
        <w:rPr>
          <w:rFonts w:ascii="Arial" w:hAnsi="Arial" w:cs="Arial"/>
          <w:sz w:val="24"/>
          <w:szCs w:val="24"/>
          <w:lang w:val="en-US"/>
        </w:rPr>
        <w:t>were</w:t>
      </w:r>
      <w:r w:rsidRPr="00174C41">
        <w:rPr>
          <w:rFonts w:ascii="Arial" w:hAnsi="Arial" w:cs="Arial"/>
          <w:sz w:val="24"/>
          <w:szCs w:val="24"/>
          <w:lang w:val="en-US"/>
        </w:rPr>
        <w:t xml:space="preserve"> norma</w:t>
      </w:r>
      <w:r w:rsidRPr="00DC6037">
        <w:rPr>
          <w:rFonts w:ascii="Arial" w:hAnsi="Arial" w:cs="Arial"/>
          <w:sz w:val="24"/>
          <w:szCs w:val="24"/>
          <w:lang w:val="en-US"/>
        </w:rPr>
        <w:t>l</w:t>
      </w:r>
      <w:r w:rsidRPr="00B9353C">
        <w:rPr>
          <w:rFonts w:ascii="Arial" w:hAnsi="Arial" w:cs="Arial"/>
          <w:sz w:val="24"/>
          <w:szCs w:val="24"/>
          <w:lang w:val="en-US"/>
        </w:rPr>
        <w:t xml:space="preserve">. WES </w:t>
      </w:r>
      <w:r w:rsidRPr="003A428A">
        <w:rPr>
          <w:rFonts w:ascii="Arial" w:hAnsi="Arial" w:cs="Arial"/>
          <w:sz w:val="24"/>
          <w:szCs w:val="24"/>
          <w:lang w:val="en-US"/>
        </w:rPr>
        <w:t>revealed the homozygous NM_001321967.1:c.1070_1071del p</w:t>
      </w:r>
      <w:proofErr w:type="gramStart"/>
      <w:r w:rsidRPr="003A428A">
        <w:rPr>
          <w:rFonts w:ascii="Arial" w:hAnsi="Arial" w:cs="Arial"/>
          <w:sz w:val="24"/>
          <w:szCs w:val="24"/>
          <w:lang w:val="en-US"/>
        </w:rPr>
        <w:t>.(</w:t>
      </w:r>
      <w:proofErr w:type="gramEnd"/>
      <w:r>
        <w:rPr>
          <w:rFonts w:ascii="Arial" w:hAnsi="Arial" w:cs="Arial"/>
          <w:sz w:val="24"/>
          <w:szCs w:val="24"/>
          <w:lang w:val="en-US"/>
        </w:rPr>
        <w:t>H</w:t>
      </w:r>
      <w:r w:rsidRPr="00174C41">
        <w:rPr>
          <w:rFonts w:ascii="Arial" w:hAnsi="Arial" w:cs="Arial"/>
          <w:sz w:val="24"/>
          <w:szCs w:val="24"/>
          <w:lang w:val="en-US"/>
        </w:rPr>
        <w:t>is357Argfs*15) variant i</w:t>
      </w:r>
      <w:r w:rsidRPr="00DC6037">
        <w:rPr>
          <w:rFonts w:ascii="Arial" w:hAnsi="Arial" w:cs="Arial"/>
          <w:sz w:val="24"/>
          <w:szCs w:val="24"/>
          <w:lang w:val="en-US"/>
        </w:rPr>
        <w:t xml:space="preserve">n </w:t>
      </w:r>
      <w:r w:rsidRPr="003A428A">
        <w:rPr>
          <w:rFonts w:ascii="Arial" w:hAnsi="Arial" w:cs="Arial"/>
          <w:i/>
          <w:sz w:val="24"/>
          <w:szCs w:val="24"/>
          <w:lang w:val="en-US"/>
        </w:rPr>
        <w:t>ATAD1</w:t>
      </w:r>
      <w:r w:rsidRPr="00D95252">
        <w:rPr>
          <w:rFonts w:ascii="Arial" w:hAnsi="Arial" w:cs="Arial"/>
          <w:sz w:val="24"/>
          <w:szCs w:val="24"/>
          <w:lang w:val="en-US"/>
        </w:rPr>
        <w:t xml:space="preserve"> confirmed by Sanger sequencing. This variant ha</w:t>
      </w:r>
      <w:r w:rsidRPr="007D297E">
        <w:rPr>
          <w:rFonts w:ascii="Arial" w:hAnsi="Arial" w:cs="Arial"/>
          <w:sz w:val="24"/>
          <w:szCs w:val="24"/>
          <w:lang w:val="en-US"/>
        </w:rPr>
        <w:t xml:space="preserve">s been previously reported in </w:t>
      </w:r>
      <w:r w:rsidRPr="00CF54B5">
        <w:rPr>
          <w:rFonts w:ascii="Arial" w:hAnsi="Arial" w:cs="Arial"/>
          <w:i/>
          <w:sz w:val="24"/>
          <w:szCs w:val="24"/>
          <w:lang w:val="en-US"/>
        </w:rPr>
        <w:t>ATAD1</w:t>
      </w:r>
      <w:r w:rsidRPr="00D95252">
        <w:rPr>
          <w:rFonts w:ascii="Arial" w:hAnsi="Arial" w:cs="Arial"/>
          <w:sz w:val="24"/>
          <w:szCs w:val="24"/>
          <w:lang w:val="en-US"/>
        </w:rPr>
        <w:t xml:space="preserve"> encephalopathy</w:t>
      </w:r>
      <w:r>
        <w:rPr>
          <w:rFonts w:ascii="Arial" w:hAnsi="Arial" w:cs="Arial"/>
          <w:sz w:val="24"/>
          <w:szCs w:val="24"/>
          <w:lang w:val="en-US"/>
        </w:rPr>
        <w:fldChar w:fldCharType="begin"/>
      </w:r>
      <w:r>
        <w:rPr>
          <w:rFonts w:ascii="Arial" w:hAnsi="Arial" w:cs="Arial"/>
          <w:sz w:val="24"/>
          <w:szCs w:val="24"/>
          <w:lang w:val="en-US"/>
        </w:rPr>
        <w:instrText xml:space="preserve"> ADDIN ZOTERO_ITEM CSL_CITATION {"citationID":"9ABSpN89","properties":{"formattedCitation":"\\super 7\\nosupersub{}","plainCitation":"7","noteIndex":0},"citationItems":[{"id":17,"uris":["http://zotero.org/users/6010008/items/6NX6GWRH"],"uri":["http://zotero.org/users/6010008/items/6NX6GWRH"],"itemData":{"id":17,"type":"article-journal","title":"A homozygous ATAD1 mutation impairs postsynaptic AMPA receptor trafficking and causes a lethal encephalopathy","container-title":"Brain","page":"651-661","volume":"141","issue":"3","source":"DOI.org (Crossref)","DOI":"10.1093/brain/awx377","ISSN":"0006-8950, 1460-2156","language":"en","author":[{"family":"Piard","given":"Juliette"},{"family":"Umanah","given":"George K Essien"},{"family":"Harms","given":"Frederike L"},{"family":"Abalde-Atristain","given":"Leire"},{"family":"Amram","given":"Daniel"},{"family":"Chang","given":"Melissa"},{"family":"Chen","given":"Rong"},{"family":"Alawi","given":"Malik"},{"family":"Salpietro","given":"Vincenzo"},{"family":"Rees","given":"Mark I"},{"family":"Chung","given":"Seo-Kyung"},{"family":"Houlden","given":"Henry"},{"family":"Verloes","given":"Alain"},{"family":"Dawson","given":"Ted M"},{"family":"Dawson","given":"Valina L"},{"family":"Van Maldergem","given":"Lionel"},{"family":"Kutsche","given":"Kerstin"}],"issued":{"date-parts":[["2018",3,1]]}}}],"schema":"https://github.com/citation-style-language/schema/raw/master/csl-citation.json"} </w:instrText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 w:rsidRPr="00104BEB">
        <w:rPr>
          <w:rFonts w:ascii="Arial" w:hAnsi="Arial" w:cs="Arial"/>
          <w:sz w:val="24"/>
          <w:szCs w:val="24"/>
          <w:vertAlign w:val="superscript"/>
          <w:lang w:val="en-GB"/>
        </w:rPr>
        <w:t>7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 w:rsidRPr="007D297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with </w:t>
      </w:r>
      <w:r w:rsidRPr="00D61FA3">
        <w:rPr>
          <w:rFonts w:ascii="Arial" w:hAnsi="Arial" w:cs="Arial"/>
          <w:sz w:val="24"/>
          <w:szCs w:val="24"/>
          <w:lang w:val="en-US"/>
        </w:rPr>
        <w:t>thorough</w:t>
      </w:r>
      <w:r>
        <w:rPr>
          <w:rFonts w:ascii="Arial" w:hAnsi="Arial" w:cs="Arial"/>
          <w:sz w:val="24"/>
          <w:szCs w:val="24"/>
          <w:lang w:val="en-US"/>
        </w:rPr>
        <w:t xml:space="preserve"> functional studies </w:t>
      </w:r>
      <w:r w:rsidRPr="007D297E">
        <w:rPr>
          <w:rFonts w:ascii="Arial" w:hAnsi="Arial" w:cs="Arial"/>
          <w:sz w:val="24"/>
          <w:szCs w:val="24"/>
          <w:lang w:val="en-US"/>
        </w:rPr>
        <w:t xml:space="preserve">and is predicted to result in a stop codon and the synthesis of a truncated </w:t>
      </w:r>
      <w:r w:rsidRPr="00174C41">
        <w:rPr>
          <w:rFonts w:ascii="Arial" w:hAnsi="Arial" w:cs="Arial"/>
          <w:sz w:val="24"/>
          <w:szCs w:val="24"/>
          <w:lang w:val="en-US"/>
        </w:rPr>
        <w:t xml:space="preserve">protein. Analysis of the parents showed that they were heterozygous carriers. </w:t>
      </w:r>
    </w:p>
    <w:p w14:paraId="007CD36E" w14:textId="77777777" w:rsidR="00B05018" w:rsidRPr="00D95252" w:rsidRDefault="00B05018" w:rsidP="00B0501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FC7D2B1" w14:textId="77777777" w:rsidR="00B05018" w:rsidRPr="007D297E" w:rsidRDefault="00B05018" w:rsidP="00B0501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A0758">
        <w:rPr>
          <w:rFonts w:ascii="Arial" w:hAnsi="Arial" w:cs="Arial"/>
          <w:b/>
          <w:sz w:val="24"/>
          <w:szCs w:val="24"/>
          <w:lang w:val="en-US"/>
        </w:rPr>
        <w:t>Patient #2</w:t>
      </w:r>
      <w:r w:rsidRPr="00F9323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505EAA">
        <w:rPr>
          <w:rFonts w:ascii="Arial" w:hAnsi="Arial" w:cs="Arial"/>
          <w:bCs/>
          <w:sz w:val="24"/>
          <w:szCs w:val="24"/>
          <w:lang w:val="en-US"/>
        </w:rPr>
        <w:t>(video 2, Figure 1b</w:t>
      </w:r>
      <w:r w:rsidRPr="00F93230">
        <w:rPr>
          <w:rFonts w:ascii="Arial" w:hAnsi="Arial" w:cs="Arial"/>
          <w:bCs/>
          <w:sz w:val="24"/>
          <w:szCs w:val="24"/>
          <w:lang w:val="en-US"/>
        </w:rPr>
        <w:t>)</w:t>
      </w:r>
      <w:r w:rsidRPr="00D95252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CF54B5">
        <w:rPr>
          <w:rFonts w:ascii="Arial" w:hAnsi="Arial" w:cs="Arial"/>
          <w:sz w:val="24"/>
          <w:szCs w:val="24"/>
          <w:lang w:val="en-US"/>
        </w:rPr>
        <w:t>was</w:t>
      </w:r>
      <w:r w:rsidRPr="00FD4F8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D297E">
        <w:rPr>
          <w:rFonts w:ascii="Arial" w:hAnsi="Arial" w:cs="Arial"/>
          <w:sz w:val="24"/>
          <w:szCs w:val="24"/>
          <w:lang w:val="en-US"/>
        </w:rPr>
        <w:t xml:space="preserve">a boy born 5 years prior to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7D297E">
        <w:rPr>
          <w:rFonts w:ascii="Arial" w:hAnsi="Arial" w:cs="Arial"/>
          <w:sz w:val="24"/>
          <w:szCs w:val="24"/>
          <w:lang w:val="en-US"/>
        </w:rPr>
        <w:t>atient #1 to</w:t>
      </w:r>
      <w:r w:rsidRPr="00E02CC6">
        <w:rPr>
          <w:rFonts w:ascii="Arial" w:hAnsi="Arial" w:cs="Arial"/>
          <w:sz w:val="24"/>
          <w:szCs w:val="24"/>
          <w:lang w:val="en-US"/>
        </w:rPr>
        <w:t xml:space="preserve"> healthy consanguineous parents of </w:t>
      </w:r>
      <w:r w:rsidRPr="00174C41">
        <w:rPr>
          <w:rFonts w:ascii="Arial" w:hAnsi="Arial" w:cs="Arial"/>
          <w:sz w:val="24"/>
          <w:szCs w:val="24"/>
          <w:lang w:val="en-US"/>
        </w:rPr>
        <w:t xml:space="preserve">French origin. </w:t>
      </w:r>
      <w:r w:rsidRPr="00DC6037">
        <w:rPr>
          <w:rFonts w:ascii="Arial" w:hAnsi="Arial" w:cs="Arial"/>
          <w:sz w:val="24"/>
          <w:szCs w:val="24"/>
          <w:lang w:val="en-US"/>
        </w:rPr>
        <w:t>His b</w:t>
      </w:r>
      <w:r w:rsidRPr="00B9353C">
        <w:rPr>
          <w:rFonts w:ascii="Arial" w:hAnsi="Arial" w:cs="Arial"/>
          <w:sz w:val="24"/>
          <w:szCs w:val="24"/>
          <w:lang w:val="en-US"/>
        </w:rPr>
        <w:t xml:space="preserve">rother and other </w:t>
      </w:r>
      <w:r w:rsidRPr="003A428A">
        <w:rPr>
          <w:rFonts w:ascii="Arial" w:hAnsi="Arial" w:cs="Arial"/>
          <w:sz w:val="24"/>
          <w:szCs w:val="24"/>
          <w:lang w:val="en-US"/>
        </w:rPr>
        <w:t>family members were healthy, except the maternal grand-mother who had epilepsy. Pregnancy ran without complications with three unremarkable ultrasounds. Patient #2 was born full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A428A">
        <w:rPr>
          <w:rFonts w:ascii="Arial" w:hAnsi="Arial" w:cs="Arial"/>
          <w:sz w:val="24"/>
          <w:szCs w:val="24"/>
          <w:lang w:val="en-US"/>
        </w:rPr>
        <w:t>term by spontaneous vaginal delivery with normal parameters: Apgar scores 10/10/10, birth weight 3,690 g (75</w:t>
      </w:r>
      <w:r w:rsidRPr="00FD4F8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95252">
        <w:rPr>
          <w:rFonts w:ascii="Arial" w:hAnsi="Arial" w:cs="Arial"/>
          <w:sz w:val="24"/>
          <w:szCs w:val="24"/>
          <w:lang w:val="en-US"/>
        </w:rPr>
        <w:t xml:space="preserve"> centile), length 49 cm (50</w:t>
      </w:r>
      <w:r w:rsidRPr="00FD4F8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95252">
        <w:rPr>
          <w:rFonts w:ascii="Arial" w:hAnsi="Arial" w:cs="Arial"/>
          <w:sz w:val="24"/>
          <w:szCs w:val="24"/>
          <w:lang w:val="en-US"/>
        </w:rPr>
        <w:t xml:space="preserve"> centile), </w:t>
      </w:r>
      <w:r w:rsidRPr="007D297E">
        <w:rPr>
          <w:rFonts w:ascii="Arial" w:hAnsi="Arial" w:cs="Arial"/>
          <w:sz w:val="24"/>
          <w:szCs w:val="24"/>
          <w:lang w:val="en-US"/>
        </w:rPr>
        <w:t>OFC 35 cm (50</w:t>
      </w:r>
      <w:r w:rsidRPr="00FD4F8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95252">
        <w:rPr>
          <w:rFonts w:ascii="Arial" w:hAnsi="Arial" w:cs="Arial"/>
          <w:sz w:val="24"/>
          <w:szCs w:val="24"/>
          <w:lang w:val="en-US"/>
        </w:rPr>
        <w:t xml:space="preserve"> centile). </w:t>
      </w:r>
      <w:r w:rsidRPr="007D297E">
        <w:rPr>
          <w:rFonts w:ascii="Arial" w:hAnsi="Arial" w:cs="Arial"/>
          <w:sz w:val="24"/>
          <w:szCs w:val="24"/>
          <w:lang w:val="en-US"/>
        </w:rPr>
        <w:t xml:space="preserve">Tremor, weak sucking </w:t>
      </w:r>
      <w:r w:rsidRPr="00E02CC6">
        <w:rPr>
          <w:rFonts w:ascii="Arial" w:hAnsi="Arial" w:cs="Arial"/>
          <w:sz w:val="24"/>
          <w:szCs w:val="24"/>
          <w:lang w:val="en-US"/>
        </w:rPr>
        <w:t>and continuous cry</w:t>
      </w:r>
      <w:r>
        <w:rPr>
          <w:rFonts w:ascii="Arial" w:hAnsi="Arial" w:cs="Arial"/>
          <w:sz w:val="24"/>
          <w:szCs w:val="24"/>
          <w:lang w:val="en-US"/>
        </w:rPr>
        <w:t>ing</w:t>
      </w:r>
      <w:r w:rsidRPr="00174C41" w:rsidDel="00354832">
        <w:rPr>
          <w:rFonts w:ascii="Arial" w:hAnsi="Arial" w:cs="Arial"/>
          <w:sz w:val="24"/>
          <w:szCs w:val="24"/>
          <w:lang w:val="en-US"/>
        </w:rPr>
        <w:t xml:space="preserve"> </w:t>
      </w:r>
      <w:r w:rsidRPr="00174C41">
        <w:rPr>
          <w:rFonts w:ascii="Arial" w:hAnsi="Arial" w:cs="Arial"/>
          <w:sz w:val="24"/>
          <w:szCs w:val="24"/>
          <w:lang w:val="en-US"/>
        </w:rPr>
        <w:t>were noticed during the first hours of life</w:t>
      </w:r>
      <w:r w:rsidRPr="003A428A">
        <w:rPr>
          <w:rFonts w:ascii="Arial" w:hAnsi="Arial" w:cs="Arial"/>
          <w:sz w:val="24"/>
          <w:szCs w:val="24"/>
          <w:lang w:val="en-US"/>
        </w:rPr>
        <w:t>. Patient #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 was hospitalized because of repeated episodes of oxygen desaturation associated with limb stiffness at the </w:t>
      </w:r>
      <w:r>
        <w:rPr>
          <w:rFonts w:ascii="Arial" w:hAnsi="Arial" w:cs="Arial"/>
          <w:sz w:val="24"/>
          <w:szCs w:val="24"/>
          <w:lang w:val="en-US"/>
        </w:rPr>
        <w:t>ten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th hour of life. Clinical examination showed generalized stiffness, </w:t>
      </w:r>
      <w:r>
        <w:rPr>
          <w:rFonts w:ascii="Arial" w:hAnsi="Arial" w:cs="Arial"/>
          <w:sz w:val="24"/>
          <w:szCs w:val="24"/>
          <w:lang w:val="en-US"/>
        </w:rPr>
        <w:t xml:space="preserve">truncal hypotonia, </w:t>
      </w:r>
      <w:r w:rsidRPr="003A428A">
        <w:rPr>
          <w:rFonts w:ascii="Arial" w:hAnsi="Arial" w:cs="Arial"/>
          <w:sz w:val="24"/>
          <w:szCs w:val="24"/>
          <w:lang w:val="en-US"/>
        </w:rPr>
        <w:t>global hypomobility and</w:t>
      </w:r>
      <w:r>
        <w:rPr>
          <w:rFonts w:ascii="Arial" w:hAnsi="Arial" w:cs="Arial"/>
          <w:sz w:val="24"/>
          <w:szCs w:val="24"/>
          <w:lang w:val="en-US"/>
        </w:rPr>
        <w:t xml:space="preserve"> brisk tendon reflexes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. The child had neither eye contact nor blink reflex. </w:t>
      </w:r>
      <w:r>
        <w:rPr>
          <w:rFonts w:ascii="Arial" w:hAnsi="Arial" w:cs="Arial"/>
          <w:sz w:val="24"/>
          <w:szCs w:val="24"/>
          <w:lang w:val="en-US"/>
        </w:rPr>
        <w:t>He had an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 umbilical hernia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3A428A" w:rsidDel="00354832">
        <w:rPr>
          <w:rFonts w:ascii="Arial" w:hAnsi="Arial" w:cs="Arial"/>
          <w:sz w:val="24"/>
          <w:szCs w:val="24"/>
          <w:lang w:val="en-US"/>
        </w:rPr>
        <w:t xml:space="preserve"> 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He needed nasogastric tube feeding, as well as oxygen therapy and intermittent NIV because of persistent hypoventilation. He underwent surgical repair of a left inguinal hernia at 2 months. </w:t>
      </w:r>
      <w:r>
        <w:rPr>
          <w:rFonts w:ascii="Arial" w:hAnsi="Arial" w:cs="Arial"/>
          <w:sz w:val="24"/>
          <w:szCs w:val="24"/>
          <w:lang w:val="en-US"/>
        </w:rPr>
        <w:t xml:space="preserve">Tonic seizures began when he was 3.5 months. </w:t>
      </w:r>
      <w:r w:rsidRPr="003A428A">
        <w:rPr>
          <w:rFonts w:ascii="Arial" w:hAnsi="Arial" w:cs="Arial"/>
          <w:sz w:val="24"/>
          <w:szCs w:val="24"/>
          <w:lang w:val="en-US"/>
        </w:rPr>
        <w:t xml:space="preserve">At 5.5 months, he presented an episode of apnea with severe desaturation and </w:t>
      </w:r>
      <w:r w:rsidRPr="003A428A">
        <w:rPr>
          <w:rFonts w:ascii="Arial" w:hAnsi="Arial" w:cs="Arial"/>
          <w:sz w:val="24"/>
          <w:szCs w:val="24"/>
          <w:lang w:val="en-US"/>
        </w:rPr>
        <w:lastRenderedPageBreak/>
        <w:t>bradycardia followed by generalized tonic clonic seizures</w:t>
      </w:r>
      <w:r w:rsidRPr="00D95252">
        <w:rPr>
          <w:rFonts w:ascii="Arial" w:hAnsi="Arial" w:cs="Arial"/>
          <w:sz w:val="24"/>
          <w:szCs w:val="24"/>
          <w:lang w:val="en-US"/>
        </w:rPr>
        <w:t>. He died at the age of 6 months of a cardio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D95252">
        <w:rPr>
          <w:rFonts w:ascii="Arial" w:hAnsi="Arial" w:cs="Arial"/>
          <w:sz w:val="24"/>
          <w:szCs w:val="24"/>
          <w:lang w:val="en-US"/>
        </w:rPr>
        <w:t xml:space="preserve">respiratory </w:t>
      </w:r>
      <w:r>
        <w:rPr>
          <w:rFonts w:ascii="Arial" w:hAnsi="Arial" w:cs="Arial"/>
          <w:sz w:val="24"/>
          <w:szCs w:val="24"/>
          <w:lang w:val="en-US"/>
        </w:rPr>
        <w:t>arrest</w:t>
      </w:r>
      <w:r w:rsidRPr="00D95252">
        <w:rPr>
          <w:rFonts w:ascii="Arial" w:hAnsi="Arial" w:cs="Arial"/>
          <w:sz w:val="24"/>
          <w:szCs w:val="24"/>
          <w:lang w:val="en-US"/>
        </w:rPr>
        <w:t>.</w:t>
      </w:r>
    </w:p>
    <w:p w14:paraId="3FEA9ED4" w14:textId="77777777" w:rsidR="00B05018" w:rsidRPr="007D297E" w:rsidRDefault="00B05018" w:rsidP="00B0501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297E">
        <w:rPr>
          <w:rFonts w:ascii="Arial" w:hAnsi="Arial" w:cs="Arial"/>
          <w:sz w:val="24"/>
          <w:szCs w:val="24"/>
          <w:lang w:val="en-US"/>
        </w:rPr>
        <w:t>Brain MRI and MRS (days 8</w:t>
      </w:r>
      <w:r w:rsidRPr="00E02CC6">
        <w:rPr>
          <w:rFonts w:ascii="Arial" w:hAnsi="Arial" w:cs="Arial"/>
          <w:sz w:val="24"/>
          <w:szCs w:val="24"/>
          <w:lang w:val="en-US"/>
        </w:rPr>
        <w:t xml:space="preserve"> and</w:t>
      </w:r>
      <w:r w:rsidRPr="00DC6037">
        <w:rPr>
          <w:rFonts w:ascii="Arial" w:hAnsi="Arial" w:cs="Arial"/>
          <w:sz w:val="24"/>
          <w:szCs w:val="24"/>
          <w:lang w:val="en-US"/>
        </w:rPr>
        <w:t xml:space="preserve"> 45, 4</w:t>
      </w:r>
      <w:r w:rsidRPr="00CF54B5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D95252">
        <w:rPr>
          <w:rFonts w:ascii="Arial" w:hAnsi="Arial" w:cs="Arial"/>
          <w:sz w:val="24"/>
          <w:szCs w:val="24"/>
          <w:lang w:val="en-US"/>
        </w:rPr>
        <w:t xml:space="preserve"> month) showed a moderate left ventriculomegaly</w:t>
      </w:r>
      <w:r w:rsidRPr="007D297E">
        <w:rPr>
          <w:rFonts w:ascii="Arial" w:hAnsi="Arial" w:cs="Arial"/>
          <w:sz w:val="24"/>
          <w:szCs w:val="24"/>
          <w:lang w:val="en-US"/>
        </w:rPr>
        <w:t>. EEG recordings were</w:t>
      </w:r>
      <w:r w:rsidRPr="00E02CC6">
        <w:rPr>
          <w:rFonts w:ascii="Arial" w:hAnsi="Arial" w:cs="Arial"/>
          <w:sz w:val="24"/>
          <w:szCs w:val="24"/>
          <w:lang w:val="en-US"/>
        </w:rPr>
        <w:t xml:space="preserve"> initially normal (</w:t>
      </w:r>
      <w:r w:rsidRPr="00DC6037">
        <w:rPr>
          <w:rFonts w:ascii="Arial" w:hAnsi="Arial" w:cs="Arial"/>
          <w:sz w:val="24"/>
          <w:szCs w:val="24"/>
          <w:lang w:val="en-US"/>
        </w:rPr>
        <w:t>days 3 and</w:t>
      </w:r>
      <w:r w:rsidRPr="00B9353C">
        <w:rPr>
          <w:rFonts w:ascii="Arial" w:hAnsi="Arial" w:cs="Arial"/>
          <w:sz w:val="24"/>
          <w:szCs w:val="24"/>
          <w:lang w:val="en-US"/>
        </w:rPr>
        <w:t xml:space="preserve"> 29), and then showed from 3.5 months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B9353C">
        <w:rPr>
          <w:rFonts w:ascii="Arial" w:hAnsi="Arial" w:cs="Arial"/>
          <w:sz w:val="24"/>
          <w:szCs w:val="24"/>
          <w:lang w:val="en-US"/>
        </w:rPr>
        <w:t xml:space="preserve">n unstable, slow background activity without organization. A tonic seizure with flattening of the activity was recorded. BAER showed no responses on both ears despite stimulation up to 105 </w:t>
      </w:r>
      <w:proofErr w:type="spellStart"/>
      <w:r w:rsidRPr="00B9353C">
        <w:rPr>
          <w:rFonts w:ascii="Arial" w:hAnsi="Arial" w:cs="Arial"/>
          <w:sz w:val="24"/>
          <w:szCs w:val="24"/>
          <w:lang w:val="en-US"/>
        </w:rPr>
        <w:t>dB.</w:t>
      </w:r>
      <w:proofErr w:type="spellEnd"/>
      <w:r w:rsidRPr="00B9353C">
        <w:rPr>
          <w:rFonts w:ascii="Arial" w:hAnsi="Arial" w:cs="Arial"/>
          <w:sz w:val="24"/>
          <w:szCs w:val="24"/>
          <w:lang w:val="en-US"/>
        </w:rPr>
        <w:t xml:space="preserve"> Muscle pathology, karyotype and array-SNP w</w:t>
      </w:r>
      <w:r w:rsidRPr="00B20997">
        <w:rPr>
          <w:rFonts w:ascii="Arial" w:hAnsi="Arial" w:cs="Arial"/>
          <w:sz w:val="24"/>
          <w:szCs w:val="24"/>
          <w:lang w:val="en-US"/>
        </w:rPr>
        <w:t>ere normal.</w:t>
      </w:r>
    </w:p>
    <w:p w14:paraId="26DBF7BE" w14:textId="77777777" w:rsidR="00B05018" w:rsidRDefault="00B05018" w:rsidP="00B05018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297E">
        <w:rPr>
          <w:rFonts w:ascii="Arial" w:hAnsi="Arial" w:cs="Arial"/>
          <w:sz w:val="24"/>
          <w:szCs w:val="24"/>
          <w:lang w:val="en-US"/>
        </w:rPr>
        <w:t xml:space="preserve">WES </w:t>
      </w:r>
      <w:r>
        <w:rPr>
          <w:rFonts w:ascii="Arial" w:hAnsi="Arial" w:cs="Arial"/>
          <w:sz w:val="24"/>
          <w:szCs w:val="24"/>
          <w:lang w:val="en-US"/>
        </w:rPr>
        <w:t xml:space="preserve">was </w:t>
      </w:r>
      <w:r w:rsidRPr="007D297E">
        <w:rPr>
          <w:rFonts w:ascii="Arial" w:hAnsi="Arial" w:cs="Arial"/>
          <w:sz w:val="24"/>
          <w:szCs w:val="24"/>
          <w:lang w:val="en-US"/>
        </w:rPr>
        <w:t xml:space="preserve">performed </w:t>
      </w:r>
      <w:r>
        <w:rPr>
          <w:rFonts w:ascii="Arial" w:hAnsi="Arial" w:cs="Arial"/>
          <w:sz w:val="24"/>
          <w:szCs w:val="24"/>
          <w:lang w:val="en-US"/>
        </w:rPr>
        <w:t>two</w:t>
      </w:r>
      <w:r w:rsidRPr="007D297E">
        <w:rPr>
          <w:rFonts w:ascii="Arial" w:hAnsi="Arial" w:cs="Arial"/>
          <w:sz w:val="24"/>
          <w:szCs w:val="24"/>
          <w:lang w:val="en-US"/>
        </w:rPr>
        <w:t xml:space="preserve"> years after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E02CC6">
        <w:rPr>
          <w:rFonts w:ascii="Arial" w:hAnsi="Arial" w:cs="Arial"/>
          <w:sz w:val="24"/>
          <w:szCs w:val="24"/>
          <w:lang w:val="en-US"/>
        </w:rPr>
        <w:t>death</w:t>
      </w:r>
      <w:r>
        <w:rPr>
          <w:rFonts w:ascii="Arial" w:hAnsi="Arial" w:cs="Arial"/>
          <w:sz w:val="24"/>
          <w:szCs w:val="24"/>
          <w:lang w:val="en-US"/>
        </w:rPr>
        <w:t xml:space="preserve"> of</w:t>
      </w:r>
      <w:r w:rsidRPr="00DC603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174C41">
        <w:rPr>
          <w:rFonts w:ascii="Arial" w:hAnsi="Arial" w:cs="Arial"/>
          <w:sz w:val="24"/>
          <w:szCs w:val="24"/>
          <w:lang w:val="en-US"/>
        </w:rPr>
        <w:t>atient #</w:t>
      </w:r>
      <w:r>
        <w:rPr>
          <w:rFonts w:ascii="Arial" w:hAnsi="Arial" w:cs="Arial"/>
          <w:sz w:val="24"/>
          <w:szCs w:val="24"/>
          <w:lang w:val="en-US"/>
        </w:rPr>
        <w:t>2 and</w:t>
      </w:r>
      <w:r w:rsidRPr="00B2099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showed</w:t>
      </w:r>
      <w:r w:rsidRPr="00DC6037">
        <w:rPr>
          <w:rFonts w:ascii="Arial" w:hAnsi="Arial" w:cs="Arial"/>
          <w:sz w:val="24"/>
          <w:szCs w:val="24"/>
          <w:lang w:val="en-US"/>
        </w:rPr>
        <w:t xml:space="preserve"> several variants of unknown signification</w:t>
      </w:r>
      <w:r w:rsidRPr="00B9353C">
        <w:rPr>
          <w:rFonts w:ascii="Arial" w:hAnsi="Arial" w:cs="Arial"/>
          <w:sz w:val="24"/>
          <w:szCs w:val="24"/>
          <w:lang w:val="en-US"/>
        </w:rPr>
        <w:t xml:space="preserve">, including </w:t>
      </w:r>
      <w:r>
        <w:rPr>
          <w:rFonts w:ascii="Arial" w:hAnsi="Arial" w:cs="Arial"/>
          <w:sz w:val="24"/>
          <w:szCs w:val="24"/>
          <w:lang w:val="en-US"/>
        </w:rPr>
        <w:t>two</w:t>
      </w:r>
      <w:r w:rsidRPr="00B935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compound heterozygous variants in </w:t>
      </w:r>
      <w:r w:rsidRPr="003A428A">
        <w:rPr>
          <w:rFonts w:ascii="Arial" w:hAnsi="Arial" w:cs="Arial"/>
          <w:i/>
          <w:sz w:val="24"/>
          <w:szCs w:val="24"/>
          <w:lang w:val="en-US"/>
        </w:rPr>
        <w:t>SCN4A</w:t>
      </w:r>
      <w:r w:rsidRPr="00B9353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(p</w:t>
      </w:r>
      <w:r w:rsidRPr="00B20997">
        <w:rPr>
          <w:rFonts w:ascii="Arial" w:hAnsi="Arial" w:cs="Arial"/>
          <w:sz w:val="24"/>
          <w:szCs w:val="24"/>
          <w:lang w:val="en-US"/>
        </w:rPr>
        <w:t>.Met1808Ile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r w:rsidRPr="00B20997">
        <w:rPr>
          <w:rFonts w:ascii="Arial" w:hAnsi="Arial" w:cs="Arial"/>
          <w:sz w:val="24"/>
          <w:szCs w:val="24"/>
          <w:lang w:val="en-US"/>
        </w:rPr>
        <w:t>p.Val1564Ile</w:t>
      </w:r>
      <w:r>
        <w:rPr>
          <w:rFonts w:ascii="Arial" w:hAnsi="Arial" w:cs="Arial"/>
          <w:sz w:val="24"/>
          <w:szCs w:val="24"/>
          <w:lang w:val="en-US"/>
        </w:rPr>
        <w:t>), both predicted as benign. The diagnosis was, however, not provided by this interpretation</w:t>
      </w:r>
      <w:r w:rsidRPr="00D95252">
        <w:rPr>
          <w:rFonts w:ascii="Arial" w:hAnsi="Arial" w:cs="Arial"/>
          <w:sz w:val="24"/>
          <w:szCs w:val="24"/>
          <w:lang w:val="en-US"/>
        </w:rPr>
        <w:t xml:space="preserve">. </w:t>
      </w:r>
      <w:r w:rsidRPr="00B9353C">
        <w:rPr>
          <w:rFonts w:ascii="Arial" w:hAnsi="Arial" w:cs="Arial"/>
          <w:sz w:val="24"/>
          <w:szCs w:val="24"/>
          <w:lang w:val="en-US"/>
        </w:rPr>
        <w:t xml:space="preserve">Two years later, after the diagnosis of </w:t>
      </w:r>
      <w:r w:rsidRPr="003A428A">
        <w:rPr>
          <w:rFonts w:ascii="Arial" w:hAnsi="Arial" w:cs="Arial"/>
          <w:i/>
          <w:sz w:val="24"/>
          <w:szCs w:val="24"/>
          <w:lang w:val="en-US"/>
        </w:rPr>
        <w:t>ATAD1</w:t>
      </w:r>
      <w:r>
        <w:rPr>
          <w:rFonts w:ascii="Arial" w:hAnsi="Arial" w:cs="Arial"/>
          <w:sz w:val="24"/>
          <w:szCs w:val="24"/>
          <w:lang w:val="en-US"/>
        </w:rPr>
        <w:t>-encephalopathy</w:t>
      </w:r>
      <w:r w:rsidRPr="00B9353C">
        <w:rPr>
          <w:rFonts w:ascii="Arial" w:hAnsi="Arial" w:cs="Arial"/>
          <w:sz w:val="24"/>
          <w:szCs w:val="24"/>
          <w:lang w:val="en-US"/>
        </w:rPr>
        <w:t xml:space="preserve"> in 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B9353C">
        <w:rPr>
          <w:rFonts w:ascii="Arial" w:hAnsi="Arial" w:cs="Arial"/>
          <w:sz w:val="24"/>
          <w:szCs w:val="24"/>
          <w:lang w:val="en-US"/>
        </w:rPr>
        <w:t xml:space="preserve">atient </w:t>
      </w:r>
      <w:r>
        <w:rPr>
          <w:rFonts w:ascii="Arial" w:hAnsi="Arial" w:cs="Arial"/>
          <w:sz w:val="24"/>
          <w:szCs w:val="24"/>
          <w:lang w:val="en-US"/>
        </w:rPr>
        <w:t>#1</w:t>
      </w:r>
      <w:r w:rsidRPr="00B9353C">
        <w:rPr>
          <w:rFonts w:ascii="Arial" w:hAnsi="Arial" w:cs="Arial"/>
          <w:sz w:val="24"/>
          <w:szCs w:val="24"/>
          <w:lang w:val="en-US"/>
        </w:rPr>
        <w:t>, we reread</w:t>
      </w:r>
      <w:r>
        <w:rPr>
          <w:rFonts w:ascii="Arial" w:hAnsi="Arial" w:cs="Arial"/>
          <w:sz w:val="24"/>
          <w:szCs w:val="24"/>
          <w:lang w:val="en-US"/>
        </w:rPr>
        <w:t xml:space="preserve"> Patient #2’s </w:t>
      </w:r>
      <w:r w:rsidRPr="00B9353C">
        <w:rPr>
          <w:rFonts w:ascii="Arial" w:hAnsi="Arial" w:cs="Arial"/>
          <w:sz w:val="24"/>
          <w:szCs w:val="24"/>
          <w:lang w:val="en-US"/>
        </w:rPr>
        <w:t xml:space="preserve">WES </w:t>
      </w:r>
      <w:r>
        <w:rPr>
          <w:rFonts w:ascii="Arial" w:hAnsi="Arial" w:cs="Arial"/>
          <w:sz w:val="24"/>
          <w:szCs w:val="24"/>
          <w:lang w:val="en-US"/>
        </w:rPr>
        <w:t xml:space="preserve">data </w:t>
      </w:r>
      <w:r w:rsidRPr="00B9353C">
        <w:rPr>
          <w:rFonts w:ascii="Arial" w:hAnsi="Arial" w:cs="Arial"/>
          <w:sz w:val="24"/>
          <w:szCs w:val="24"/>
          <w:lang w:val="en-US"/>
        </w:rPr>
        <w:t>because of the similarity of the</w:t>
      </w:r>
      <w:r>
        <w:rPr>
          <w:rFonts w:ascii="Arial" w:hAnsi="Arial" w:cs="Arial"/>
          <w:sz w:val="24"/>
          <w:szCs w:val="24"/>
          <w:lang w:val="en-US"/>
        </w:rPr>
        <w:t>ir</w:t>
      </w:r>
      <w:r w:rsidRPr="00B9353C">
        <w:rPr>
          <w:rFonts w:ascii="Arial" w:hAnsi="Arial" w:cs="Arial"/>
          <w:sz w:val="24"/>
          <w:szCs w:val="24"/>
          <w:lang w:val="en-US"/>
        </w:rPr>
        <w:t xml:space="preserve"> clinical presentations. Th</w:t>
      </w:r>
      <w:r>
        <w:rPr>
          <w:rFonts w:ascii="Arial" w:hAnsi="Arial" w:cs="Arial"/>
          <w:sz w:val="24"/>
          <w:szCs w:val="24"/>
          <w:lang w:val="en-US"/>
        </w:rPr>
        <w:t xml:space="preserve">is allowed the identification </w:t>
      </w:r>
      <w:r w:rsidRPr="00B9353C">
        <w:rPr>
          <w:rFonts w:ascii="Arial" w:hAnsi="Arial" w:cs="Arial"/>
          <w:sz w:val="24"/>
          <w:szCs w:val="24"/>
          <w:lang w:val="en-US"/>
        </w:rPr>
        <w:t>the homozyg</w:t>
      </w:r>
      <w:r w:rsidRPr="00B20997">
        <w:rPr>
          <w:rFonts w:ascii="Arial" w:hAnsi="Arial" w:cs="Arial"/>
          <w:sz w:val="24"/>
          <w:szCs w:val="24"/>
          <w:lang w:val="en-US"/>
        </w:rPr>
        <w:t xml:space="preserve">ous </w:t>
      </w:r>
      <w:proofErr w:type="gramStart"/>
      <w:r w:rsidRPr="00C518A3">
        <w:rPr>
          <w:rFonts w:ascii="Arial" w:hAnsi="Arial" w:cs="Arial"/>
          <w:sz w:val="24"/>
          <w:szCs w:val="24"/>
          <w:lang w:val="en-US"/>
        </w:rPr>
        <w:t>Chr10(</w:t>
      </w:r>
      <w:proofErr w:type="gramEnd"/>
      <w:r w:rsidRPr="00C518A3">
        <w:rPr>
          <w:rFonts w:ascii="Arial" w:hAnsi="Arial" w:cs="Arial"/>
          <w:sz w:val="24"/>
          <w:szCs w:val="24"/>
          <w:lang w:val="en-US"/>
        </w:rPr>
        <w:t>GRCh37):g.89544427C&gt;A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B20997">
        <w:rPr>
          <w:rFonts w:ascii="Arial" w:hAnsi="Arial" w:cs="Arial"/>
          <w:sz w:val="24"/>
          <w:szCs w:val="24"/>
          <w:lang w:val="en-US"/>
        </w:rPr>
        <w:t>NM_001321967.1:c.383G&gt;T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B20997">
        <w:rPr>
          <w:rFonts w:ascii="Arial" w:hAnsi="Arial" w:cs="Arial"/>
          <w:sz w:val="24"/>
          <w:szCs w:val="24"/>
          <w:lang w:val="en-US"/>
        </w:rPr>
        <w:t xml:space="preserve"> p.(Gly128Val) variant in </w:t>
      </w:r>
      <w:r w:rsidRPr="003A428A">
        <w:rPr>
          <w:rFonts w:ascii="Arial" w:hAnsi="Arial" w:cs="Arial"/>
          <w:i/>
          <w:sz w:val="24"/>
          <w:szCs w:val="24"/>
          <w:lang w:val="en-US"/>
        </w:rPr>
        <w:t>ATAD1</w:t>
      </w:r>
      <w:r w:rsidRPr="00B20997">
        <w:rPr>
          <w:rFonts w:ascii="Arial" w:hAnsi="Arial" w:cs="Arial"/>
          <w:sz w:val="24"/>
          <w:szCs w:val="24"/>
          <w:lang w:val="en-US"/>
        </w:rPr>
        <w:t xml:space="preserve"> confirmed by Sanger sequencing. This variant</w:t>
      </w:r>
      <w:r>
        <w:rPr>
          <w:rFonts w:ascii="Arial" w:hAnsi="Arial" w:cs="Arial"/>
          <w:sz w:val="24"/>
          <w:szCs w:val="24"/>
          <w:lang w:val="en-US"/>
        </w:rPr>
        <w:t xml:space="preserve"> is present on all coding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refseq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transcripts (</w:t>
      </w:r>
      <w:r w:rsidRPr="00DB6188">
        <w:rPr>
          <w:rFonts w:ascii="Arial" w:hAnsi="Arial" w:cs="Arial"/>
          <w:sz w:val="24"/>
          <w:szCs w:val="24"/>
          <w:lang w:val="en-US"/>
        </w:rPr>
        <w:t>NM_001321967.1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DB6188">
        <w:rPr>
          <w:rFonts w:ascii="Arial" w:hAnsi="Arial" w:cs="Arial"/>
          <w:sz w:val="24"/>
          <w:szCs w:val="24"/>
          <w:lang w:val="en-US"/>
        </w:rPr>
        <w:t>NM_001321968.1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DB6188">
        <w:rPr>
          <w:rFonts w:ascii="Arial" w:hAnsi="Arial" w:cs="Arial"/>
          <w:sz w:val="24"/>
          <w:szCs w:val="24"/>
          <w:lang w:val="en-US"/>
        </w:rPr>
        <w:t>NM_001321969.1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DB6188">
        <w:rPr>
          <w:rFonts w:ascii="Arial" w:hAnsi="Arial" w:cs="Arial"/>
          <w:sz w:val="24"/>
          <w:szCs w:val="24"/>
          <w:lang w:val="en-US"/>
        </w:rPr>
        <w:t>NM_032810.3</w:t>
      </w:r>
      <w:r>
        <w:rPr>
          <w:rFonts w:ascii="Arial" w:hAnsi="Arial" w:cs="Arial"/>
          <w:sz w:val="24"/>
          <w:szCs w:val="24"/>
          <w:lang w:val="en-US"/>
        </w:rPr>
        <w:t>),</w:t>
      </w:r>
      <w:r w:rsidRPr="00B2099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is</w:t>
      </w:r>
      <w:r w:rsidRPr="00B20997">
        <w:rPr>
          <w:rFonts w:ascii="Arial" w:hAnsi="Arial" w:cs="Arial"/>
          <w:sz w:val="24"/>
          <w:szCs w:val="24"/>
          <w:lang w:val="en-US"/>
        </w:rPr>
        <w:t xml:space="preserve"> absent from </w:t>
      </w:r>
      <w:r>
        <w:rPr>
          <w:rFonts w:ascii="Arial" w:hAnsi="Arial" w:cs="Arial"/>
          <w:sz w:val="24"/>
          <w:szCs w:val="24"/>
          <w:lang w:val="en-US"/>
        </w:rPr>
        <w:t xml:space="preserve">control </w:t>
      </w:r>
      <w:r w:rsidRPr="00B20997">
        <w:rPr>
          <w:rFonts w:ascii="Arial" w:hAnsi="Arial" w:cs="Arial"/>
          <w:sz w:val="24"/>
          <w:szCs w:val="24"/>
          <w:lang w:val="en-US"/>
        </w:rPr>
        <w:t xml:space="preserve">databases (EVS, </w:t>
      </w:r>
      <w:proofErr w:type="spellStart"/>
      <w:r w:rsidRPr="00B20997">
        <w:rPr>
          <w:rFonts w:ascii="Arial" w:hAnsi="Arial" w:cs="Arial"/>
          <w:sz w:val="24"/>
          <w:szCs w:val="24"/>
          <w:lang w:val="en-US"/>
        </w:rPr>
        <w:t>ExAC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gnomAD</w:t>
      </w:r>
      <w:proofErr w:type="spellEnd"/>
      <w:r w:rsidRPr="00B20997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>, affects a highly conserved amino-acid of the protein (GERP++ RS score 5.2) in the AAA+ ATPase domain</w:t>
      </w:r>
      <w:r w:rsidRPr="00B20997">
        <w:rPr>
          <w:rFonts w:ascii="Arial" w:hAnsi="Arial" w:cs="Arial"/>
          <w:sz w:val="24"/>
          <w:szCs w:val="24"/>
          <w:lang w:val="en-US"/>
        </w:rPr>
        <w:t xml:space="preserve"> and </w:t>
      </w:r>
      <w:r>
        <w:rPr>
          <w:rFonts w:ascii="Arial" w:hAnsi="Arial" w:cs="Arial"/>
          <w:sz w:val="24"/>
          <w:szCs w:val="24"/>
          <w:lang w:val="en-US"/>
        </w:rPr>
        <w:t>is considered</w:t>
      </w:r>
      <w:r w:rsidRPr="00B2099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as disease-causing with all the prediction algorithms we have tested (CADD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Phred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score 33,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MetaSVM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score 1.09,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Provean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Score -8.3, Revel Score 0.98)</w:t>
      </w:r>
      <w:r w:rsidRPr="00B20997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Both</w:t>
      </w:r>
      <w:r w:rsidRPr="00B20997">
        <w:rPr>
          <w:rFonts w:ascii="Arial" w:hAnsi="Arial" w:cs="Arial"/>
          <w:sz w:val="24"/>
          <w:szCs w:val="24"/>
          <w:lang w:val="en-US"/>
        </w:rPr>
        <w:t xml:space="preserve"> parents were heter</w:t>
      </w:r>
      <w:r>
        <w:rPr>
          <w:rFonts w:ascii="Arial" w:hAnsi="Arial" w:cs="Arial"/>
          <w:sz w:val="24"/>
          <w:szCs w:val="24"/>
          <w:lang w:val="en-US"/>
        </w:rPr>
        <w:t>ozygous carriers of the variant</w:t>
      </w:r>
      <w:r w:rsidRPr="00B20997">
        <w:rPr>
          <w:rFonts w:ascii="Arial" w:hAnsi="Arial" w:cs="Arial"/>
          <w:sz w:val="24"/>
          <w:szCs w:val="24"/>
          <w:lang w:val="en-US"/>
        </w:rPr>
        <w:t>.</w:t>
      </w:r>
    </w:p>
    <w:p w14:paraId="5FBC0DDC" w14:textId="77777777" w:rsidR="00F84DDC" w:rsidRDefault="00F84DDC"/>
    <w:sectPr w:rsidR="00F8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18"/>
    <w:rsid w:val="003272F8"/>
    <w:rsid w:val="00460870"/>
    <w:rsid w:val="0076356D"/>
    <w:rsid w:val="007A0758"/>
    <w:rsid w:val="00B05018"/>
    <w:rsid w:val="00EF688A"/>
    <w:rsid w:val="00F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9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1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1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Mignot</dc:creator>
  <cp:lastModifiedBy>MIGNOT Cyril</cp:lastModifiedBy>
  <cp:revision>2</cp:revision>
  <dcterms:created xsi:type="dcterms:W3CDTF">2020-08-24T13:37:00Z</dcterms:created>
  <dcterms:modified xsi:type="dcterms:W3CDTF">2020-08-24T13:37:00Z</dcterms:modified>
</cp:coreProperties>
</file>