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E0CF1" w14:textId="3CF933FA" w:rsidR="000D4245" w:rsidRPr="000D4245" w:rsidRDefault="000117FA" w:rsidP="00F10FAE">
      <w:pPr>
        <w:spacing w:after="0" w:line="360" w:lineRule="auto"/>
        <w:jc w:val="center"/>
        <w:rPr>
          <w:rFonts w:eastAsiaTheme="minorEastAsia"/>
          <w:b/>
          <w:sz w:val="32"/>
          <w:szCs w:val="24"/>
          <w:lang w:eastAsia="nl-NL"/>
        </w:rPr>
      </w:pPr>
      <w:r>
        <w:rPr>
          <w:rFonts w:eastAsiaTheme="minorEastAsia"/>
          <w:b/>
          <w:sz w:val="32"/>
          <w:szCs w:val="24"/>
          <w:lang w:eastAsia="nl-NL"/>
        </w:rPr>
        <w:t>E-appendix</w:t>
      </w:r>
    </w:p>
    <w:p w14:paraId="668AA253" w14:textId="77777777" w:rsidR="00F10FAE" w:rsidRDefault="000D4245" w:rsidP="000D4245">
      <w:pPr>
        <w:spacing w:after="0" w:line="360" w:lineRule="auto"/>
        <w:jc w:val="center"/>
        <w:rPr>
          <w:b/>
          <w:sz w:val="28"/>
        </w:rPr>
      </w:pPr>
      <w:r w:rsidRPr="00154375">
        <w:rPr>
          <w:b/>
          <w:i/>
          <w:sz w:val="28"/>
        </w:rPr>
        <w:t>ACO2</w:t>
      </w:r>
      <w:r w:rsidRPr="00154375">
        <w:rPr>
          <w:b/>
          <w:sz w:val="28"/>
        </w:rPr>
        <w:t xml:space="preserve"> homozygo</w:t>
      </w:r>
      <w:r w:rsidR="00F10FAE">
        <w:rPr>
          <w:b/>
          <w:sz w:val="28"/>
        </w:rPr>
        <w:t>us missense mutation associated</w:t>
      </w:r>
    </w:p>
    <w:p w14:paraId="30737F99" w14:textId="6F82482E" w:rsidR="000D4245" w:rsidRPr="00154375" w:rsidRDefault="000D4245" w:rsidP="000D4245">
      <w:pPr>
        <w:spacing w:after="0" w:line="360" w:lineRule="auto"/>
        <w:jc w:val="center"/>
        <w:rPr>
          <w:b/>
          <w:sz w:val="28"/>
        </w:rPr>
      </w:pPr>
      <w:r w:rsidRPr="00154375">
        <w:rPr>
          <w:b/>
          <w:sz w:val="28"/>
        </w:rPr>
        <w:t>with complicated hereditary spastic paraplegia</w:t>
      </w:r>
    </w:p>
    <w:p w14:paraId="59F2E8C5" w14:textId="77777777" w:rsidR="000D4245" w:rsidRDefault="000D4245" w:rsidP="00895ECA">
      <w:pPr>
        <w:spacing w:after="0" w:line="240" w:lineRule="auto"/>
        <w:rPr>
          <w:rFonts w:eastAsiaTheme="minorEastAsia"/>
          <w:b/>
          <w:sz w:val="20"/>
          <w:szCs w:val="24"/>
          <w:lang w:eastAsia="nl-NL"/>
        </w:rPr>
      </w:pPr>
    </w:p>
    <w:p w14:paraId="4A51D9F2" w14:textId="16FDF7FC" w:rsidR="00407DBB" w:rsidRPr="0068737D" w:rsidRDefault="00407DBB" w:rsidP="00407DBB">
      <w:pPr>
        <w:spacing w:line="360" w:lineRule="auto"/>
        <w:contextualSpacing/>
        <w:jc w:val="both"/>
        <w:rPr>
          <w:rFonts w:asciiTheme="majorHAnsi" w:hAnsiTheme="majorHAnsi"/>
          <w:sz w:val="20"/>
        </w:rPr>
      </w:pPr>
      <w:r w:rsidRPr="0068737D">
        <w:rPr>
          <w:rFonts w:asciiTheme="majorHAnsi" w:hAnsiTheme="majorHAnsi"/>
          <w:sz w:val="20"/>
        </w:rPr>
        <w:t xml:space="preserve">Christian G. Bouwkamp, Zaid Afawi, Aviva Fattal-Valevski, </w:t>
      </w:r>
      <w:r>
        <w:rPr>
          <w:rFonts w:asciiTheme="majorHAnsi" w:hAnsiTheme="majorHAnsi"/>
          <w:sz w:val="20"/>
        </w:rPr>
        <w:t xml:space="preserve">Inge E. Krabbendam, Stefano Rivetti, </w:t>
      </w:r>
      <w:r w:rsidR="00774013" w:rsidRPr="00314107">
        <w:rPr>
          <w:rFonts w:asciiTheme="majorHAnsi" w:hAnsiTheme="majorHAnsi"/>
          <w:sz w:val="20"/>
        </w:rPr>
        <w:t>Rafik Masalha</w:t>
      </w:r>
      <w:r w:rsidR="00774013">
        <w:rPr>
          <w:rFonts w:asciiTheme="majorHAnsi" w:hAnsiTheme="majorHAnsi"/>
          <w:sz w:val="20"/>
        </w:rPr>
        <w:t xml:space="preserve">, </w:t>
      </w:r>
      <w:bookmarkStart w:id="0" w:name="_GoBack"/>
      <w:bookmarkEnd w:id="0"/>
      <w:r w:rsidR="00774013" w:rsidRPr="0068737D">
        <w:rPr>
          <w:rFonts w:asciiTheme="majorHAnsi" w:hAnsiTheme="majorHAnsi"/>
          <w:sz w:val="20"/>
        </w:rPr>
        <w:t xml:space="preserve"> </w:t>
      </w:r>
      <w:r w:rsidRPr="0068737D">
        <w:rPr>
          <w:rFonts w:asciiTheme="majorHAnsi" w:hAnsiTheme="majorHAnsi"/>
          <w:sz w:val="20"/>
        </w:rPr>
        <w:t xml:space="preserve">Marialuisa Quadri, Guido J. Breedveld, Hanna Mandel, Muhammad Abu Tailakh, </w:t>
      </w:r>
      <w:r>
        <w:rPr>
          <w:rFonts w:asciiTheme="majorHAnsi" w:hAnsiTheme="majorHAnsi"/>
          <w:sz w:val="20"/>
        </w:rPr>
        <w:t xml:space="preserve">H. Berna Beverloo, Giovanni Stevanin, Alexis Brice, </w:t>
      </w:r>
      <w:r w:rsidRPr="0068737D">
        <w:rPr>
          <w:rFonts w:asciiTheme="majorHAnsi" w:hAnsiTheme="majorHAnsi"/>
          <w:sz w:val="20"/>
        </w:rPr>
        <w:t>Wilfred F.J. van I</w:t>
      </w:r>
      <w:r>
        <w:rPr>
          <w:rFonts w:asciiTheme="majorHAnsi" w:hAnsiTheme="majorHAnsi"/>
          <w:sz w:val="20"/>
        </w:rPr>
        <w:t>J</w:t>
      </w:r>
      <w:r w:rsidRPr="0068737D">
        <w:rPr>
          <w:rFonts w:asciiTheme="majorHAnsi" w:hAnsiTheme="majorHAnsi"/>
          <w:sz w:val="20"/>
        </w:rPr>
        <w:t xml:space="preserve">cken, Meike W. Vernooij, </w:t>
      </w:r>
      <w:r>
        <w:rPr>
          <w:rFonts w:asciiTheme="majorHAnsi" w:hAnsiTheme="majorHAnsi"/>
          <w:sz w:val="20"/>
        </w:rPr>
        <w:t xml:space="preserve">Amalia M. Dolga, Femke M.S. de Vrij, </w:t>
      </w:r>
      <w:r w:rsidRPr="0068737D">
        <w:rPr>
          <w:rFonts w:asciiTheme="majorHAnsi" w:hAnsiTheme="majorHAnsi"/>
          <w:sz w:val="20"/>
        </w:rPr>
        <w:t>Vincenzo Bonifati, Steven A. Kushner</w:t>
      </w:r>
    </w:p>
    <w:p w14:paraId="55273E13" w14:textId="77777777" w:rsidR="000D4245" w:rsidRDefault="000D4245" w:rsidP="00895ECA">
      <w:pPr>
        <w:spacing w:after="0" w:line="240" w:lineRule="auto"/>
        <w:rPr>
          <w:rFonts w:eastAsiaTheme="minorEastAsia"/>
          <w:b/>
          <w:sz w:val="20"/>
          <w:szCs w:val="24"/>
          <w:lang w:eastAsia="nl-NL"/>
        </w:rPr>
      </w:pPr>
    </w:p>
    <w:p w14:paraId="5D854B3F" w14:textId="77777777" w:rsidR="000D4245" w:rsidRDefault="000D4245" w:rsidP="00895ECA">
      <w:pPr>
        <w:spacing w:after="0" w:line="240" w:lineRule="auto"/>
        <w:rPr>
          <w:rFonts w:eastAsiaTheme="minorEastAsia"/>
          <w:b/>
          <w:sz w:val="20"/>
          <w:szCs w:val="24"/>
          <w:lang w:eastAsia="nl-NL"/>
        </w:rPr>
      </w:pPr>
    </w:p>
    <w:p w14:paraId="1455676B" w14:textId="77777777" w:rsidR="00F10FAE" w:rsidRPr="009C5BA9" w:rsidRDefault="00F10FAE" w:rsidP="00F10FAE">
      <w:pPr>
        <w:spacing w:after="0" w:line="360" w:lineRule="auto"/>
        <w:jc w:val="both"/>
        <w:rPr>
          <w:rFonts w:asciiTheme="majorHAnsi" w:hAnsiTheme="majorHAnsi"/>
          <w:b/>
          <w:sz w:val="20"/>
          <w:u w:val="single"/>
          <w:lang w:val="en-GB"/>
        </w:rPr>
      </w:pPr>
      <w:r w:rsidRPr="009C5BA9">
        <w:rPr>
          <w:rFonts w:asciiTheme="majorHAnsi" w:hAnsiTheme="majorHAnsi"/>
          <w:b/>
          <w:sz w:val="20"/>
          <w:u w:val="single"/>
          <w:lang w:val="en-GB"/>
        </w:rPr>
        <w:t>Aconitase enzyme assay</w:t>
      </w:r>
    </w:p>
    <w:p w14:paraId="2B6D3D3A" w14:textId="77777777" w:rsidR="00F10FAE" w:rsidRPr="0068737D" w:rsidRDefault="00F10FAE" w:rsidP="00F10FAE">
      <w:pPr>
        <w:spacing w:after="0" w:line="360" w:lineRule="auto"/>
        <w:jc w:val="both"/>
        <w:rPr>
          <w:rFonts w:asciiTheme="majorHAnsi" w:hAnsiTheme="majorHAnsi"/>
          <w:sz w:val="20"/>
          <w:lang w:val="en-GB"/>
        </w:rPr>
      </w:pPr>
      <w:r w:rsidRPr="0068737D">
        <w:rPr>
          <w:rFonts w:asciiTheme="majorHAnsi" w:hAnsiTheme="majorHAnsi"/>
          <w:sz w:val="20"/>
          <w:lang w:val="en-GB"/>
        </w:rPr>
        <w:t>Activity of the aconitase enzyme was measured using the colorimetric Aconitase Enzyme Activity Microplate Assay Kit (Abcam) according to the manufacturer’s instructions. LCLs were lysed by homogenization in lysis buffer (2x10</w:t>
      </w:r>
      <w:r w:rsidRPr="0068737D">
        <w:rPr>
          <w:rFonts w:asciiTheme="majorHAnsi" w:hAnsiTheme="majorHAnsi"/>
          <w:sz w:val="20"/>
          <w:vertAlign w:val="superscript"/>
          <w:lang w:val="en-GB"/>
        </w:rPr>
        <w:t>6</w:t>
      </w:r>
      <w:r w:rsidRPr="0068737D">
        <w:rPr>
          <w:rFonts w:asciiTheme="majorHAnsi" w:hAnsiTheme="majorHAnsi"/>
          <w:sz w:val="20"/>
          <w:lang w:val="en-GB"/>
        </w:rPr>
        <w:t xml:space="preserve"> cells/sample), followed by centrifugation for 15 minutes at 10.000g and 4</w:t>
      </w:r>
      <w:r w:rsidRPr="0068737D">
        <w:rPr>
          <w:rFonts w:asciiTheme="majorHAnsi" w:hAnsiTheme="majorHAnsi"/>
          <w:sz w:val="20"/>
          <w:lang w:val="en-GB"/>
        </w:rPr>
        <w:sym w:font="Symbol" w:char="F0B0"/>
      </w:r>
      <w:r w:rsidRPr="0068737D">
        <w:rPr>
          <w:rFonts w:asciiTheme="majorHAnsi" w:hAnsiTheme="majorHAnsi"/>
          <w:sz w:val="20"/>
          <w:lang w:val="en-GB"/>
        </w:rPr>
        <w:t xml:space="preserve">C. The activity was measured both in supernatant of whole cell lysates, and in isolated mitochondrial and cytoplasmic fractions using a complementary cellular fractionation kit (Abcam). The conversion </w:t>
      </w:r>
      <w:r w:rsidRPr="0068737D">
        <w:rPr>
          <w:rFonts w:asciiTheme="majorHAnsi" w:hAnsiTheme="majorHAnsi"/>
          <w:sz w:val="20"/>
        </w:rPr>
        <w:t xml:space="preserve">of isocitrate to cis-aconitate was </w:t>
      </w:r>
      <w:r>
        <w:rPr>
          <w:rFonts w:asciiTheme="majorHAnsi" w:hAnsiTheme="majorHAnsi"/>
          <w:sz w:val="20"/>
        </w:rPr>
        <w:t>quantified</w:t>
      </w:r>
      <w:r w:rsidRPr="0068737D">
        <w:rPr>
          <w:rFonts w:asciiTheme="majorHAnsi" w:hAnsiTheme="majorHAnsi"/>
          <w:sz w:val="20"/>
        </w:rPr>
        <w:t xml:space="preserve"> by </w:t>
      </w:r>
      <w:r>
        <w:rPr>
          <w:rFonts w:asciiTheme="majorHAnsi" w:hAnsiTheme="majorHAnsi"/>
          <w:sz w:val="20"/>
        </w:rPr>
        <w:t xml:space="preserve">fluorometric </w:t>
      </w:r>
      <w:r w:rsidRPr="0068737D">
        <w:rPr>
          <w:rFonts w:asciiTheme="majorHAnsi" w:hAnsiTheme="majorHAnsi"/>
          <w:sz w:val="20"/>
        </w:rPr>
        <w:t>absorbance at 240 nm in a microplate reader. All experiments were performed at least twice with similar results. Absorbance data were corrected for blank measurements and</w:t>
      </w:r>
      <w:r>
        <w:rPr>
          <w:rFonts w:asciiTheme="majorHAnsi" w:hAnsiTheme="majorHAnsi"/>
          <w:sz w:val="20"/>
        </w:rPr>
        <w:t xml:space="preserve"> normalized to control levels.</w:t>
      </w:r>
    </w:p>
    <w:p w14:paraId="18D2AD3E" w14:textId="77777777" w:rsidR="00F10FAE" w:rsidRPr="0068737D" w:rsidRDefault="00F10FAE" w:rsidP="00F10FAE">
      <w:pPr>
        <w:spacing w:after="0" w:line="240" w:lineRule="auto"/>
        <w:jc w:val="both"/>
        <w:rPr>
          <w:rFonts w:asciiTheme="majorHAnsi" w:hAnsiTheme="majorHAnsi"/>
          <w:b/>
        </w:rPr>
      </w:pPr>
    </w:p>
    <w:p w14:paraId="654CEED3" w14:textId="77777777" w:rsidR="00F10FAE" w:rsidRPr="009C5BA9" w:rsidRDefault="00F10FAE" w:rsidP="00F10FAE">
      <w:pPr>
        <w:spacing w:after="0" w:line="360" w:lineRule="auto"/>
        <w:jc w:val="both"/>
        <w:rPr>
          <w:rFonts w:asciiTheme="majorHAnsi" w:hAnsiTheme="majorHAnsi"/>
          <w:b/>
          <w:sz w:val="20"/>
          <w:u w:val="single"/>
          <w:lang w:val="en-GB"/>
        </w:rPr>
      </w:pPr>
      <w:r w:rsidRPr="009C5BA9">
        <w:rPr>
          <w:rFonts w:asciiTheme="majorHAnsi" w:hAnsiTheme="majorHAnsi"/>
          <w:b/>
          <w:sz w:val="20"/>
          <w:u w:val="single"/>
          <w:lang w:val="en-GB"/>
        </w:rPr>
        <w:t>Western blotting</w:t>
      </w:r>
    </w:p>
    <w:p w14:paraId="5373038C" w14:textId="77777777" w:rsidR="00F10FAE" w:rsidRPr="0068737D" w:rsidRDefault="00F10FAE" w:rsidP="00F10FAE">
      <w:pPr>
        <w:spacing w:line="360" w:lineRule="auto"/>
        <w:jc w:val="both"/>
        <w:rPr>
          <w:rFonts w:asciiTheme="majorHAnsi" w:hAnsiTheme="majorHAnsi"/>
          <w:sz w:val="20"/>
          <w:lang w:val="en-GB"/>
        </w:rPr>
      </w:pPr>
      <w:r w:rsidRPr="0068737D">
        <w:rPr>
          <w:rFonts w:asciiTheme="majorHAnsi" w:hAnsiTheme="majorHAnsi"/>
          <w:sz w:val="20"/>
          <w:lang w:val="en-GB"/>
        </w:rPr>
        <w:t xml:space="preserve">LCL lysates were diluted 1:1 with 25% XT Sample Buffer (Biorad) and 10% 100mM dithiothreitol (DTT) followed by heating to 65°C for 15 minutes. </w:t>
      </w:r>
      <w:r>
        <w:rPr>
          <w:rFonts w:asciiTheme="majorHAnsi" w:hAnsiTheme="majorHAnsi"/>
          <w:sz w:val="20"/>
          <w:lang w:val="en-GB"/>
        </w:rPr>
        <w:t>S</w:t>
      </w:r>
      <w:r w:rsidRPr="0068737D">
        <w:rPr>
          <w:rFonts w:asciiTheme="majorHAnsi" w:hAnsiTheme="majorHAnsi"/>
          <w:sz w:val="20"/>
          <w:lang w:val="en-GB"/>
        </w:rPr>
        <w:t>amples were electrophoresed through 4%-12% Criterion™ XT Bis-Tris gradient gels (Biorad) in XT-Mops buffer (Biorad). Proteins were transferred overnight on 0.45µm pore nitrocellulose membrane (Biorad) in a Tris-Glycine buffer consisting of 10% Tris/Glycine buffer (Biorad) and 20% anhydrous methanol in distilled water.</w:t>
      </w:r>
      <w:r>
        <w:rPr>
          <w:rFonts w:asciiTheme="majorHAnsi" w:hAnsiTheme="majorHAnsi"/>
          <w:sz w:val="20"/>
          <w:lang w:val="en-GB"/>
        </w:rPr>
        <w:t xml:space="preserve"> Membranes </w:t>
      </w:r>
      <w:r w:rsidRPr="0068737D">
        <w:rPr>
          <w:rFonts w:asciiTheme="majorHAnsi" w:hAnsiTheme="majorHAnsi"/>
          <w:sz w:val="20"/>
          <w:lang w:val="en-GB"/>
        </w:rPr>
        <w:t xml:space="preserve">were blocked for 1 hour while shaking at room temperature in </w:t>
      </w:r>
      <w:r w:rsidRPr="0068737D">
        <w:rPr>
          <w:rFonts w:asciiTheme="majorHAnsi" w:hAnsiTheme="majorHAnsi"/>
          <w:sz w:val="20"/>
        </w:rPr>
        <w:t>TBS buffer w</w:t>
      </w:r>
      <w:r>
        <w:rPr>
          <w:rFonts w:asciiTheme="majorHAnsi" w:hAnsiTheme="majorHAnsi"/>
          <w:sz w:val="20"/>
        </w:rPr>
        <w:t>ith 0.1% Tween-20 (TBST)</w:t>
      </w:r>
      <w:r w:rsidRPr="0068737D">
        <w:rPr>
          <w:rFonts w:asciiTheme="majorHAnsi" w:hAnsiTheme="majorHAnsi"/>
          <w:sz w:val="20"/>
        </w:rPr>
        <w:t xml:space="preserve"> </w:t>
      </w:r>
      <w:r w:rsidRPr="0068737D">
        <w:rPr>
          <w:rFonts w:asciiTheme="majorHAnsi" w:hAnsiTheme="majorHAnsi"/>
          <w:sz w:val="20"/>
          <w:lang w:val="en-GB"/>
        </w:rPr>
        <w:t xml:space="preserve">containing 4% blotting grade blocker (Biorad). </w:t>
      </w:r>
      <w:r>
        <w:rPr>
          <w:rFonts w:asciiTheme="majorHAnsi" w:hAnsiTheme="majorHAnsi"/>
          <w:sz w:val="20"/>
          <w:lang w:val="en-GB"/>
        </w:rPr>
        <w:t>Primary antibody labelling of the membranes</w:t>
      </w:r>
      <w:r w:rsidRPr="0068737D">
        <w:rPr>
          <w:rFonts w:asciiTheme="majorHAnsi" w:hAnsiTheme="majorHAnsi"/>
          <w:sz w:val="20"/>
          <w:lang w:val="en-GB"/>
        </w:rPr>
        <w:t xml:space="preserve"> </w:t>
      </w:r>
      <w:r>
        <w:rPr>
          <w:rFonts w:asciiTheme="majorHAnsi" w:hAnsiTheme="majorHAnsi"/>
          <w:sz w:val="20"/>
          <w:lang w:val="en-GB"/>
        </w:rPr>
        <w:t>for</w:t>
      </w:r>
      <w:r w:rsidRPr="0068737D">
        <w:rPr>
          <w:rFonts w:asciiTheme="majorHAnsi" w:hAnsiTheme="majorHAnsi"/>
          <w:sz w:val="20"/>
          <w:lang w:val="en-GB"/>
        </w:rPr>
        <w:t xml:space="preserve"> </w:t>
      </w:r>
      <w:r w:rsidRPr="00A747F2">
        <w:rPr>
          <w:rFonts w:ascii="Symbol" w:hAnsi="Symbol"/>
          <w:sz w:val="20"/>
          <w:lang w:val="en-GB"/>
        </w:rPr>
        <w:t></w:t>
      </w:r>
      <w:r>
        <w:rPr>
          <w:rFonts w:asciiTheme="majorHAnsi" w:hAnsiTheme="majorHAnsi"/>
          <w:sz w:val="20"/>
          <w:lang w:val="en-GB"/>
        </w:rPr>
        <w:t>-</w:t>
      </w:r>
      <w:r w:rsidRPr="0068737D">
        <w:rPr>
          <w:rFonts w:asciiTheme="majorHAnsi" w:hAnsiTheme="majorHAnsi"/>
          <w:sz w:val="20"/>
          <w:lang w:val="en-GB"/>
        </w:rPr>
        <w:t xml:space="preserve">actin (Millipore) and aconitase 2 (Abcam) </w:t>
      </w:r>
      <w:r>
        <w:rPr>
          <w:rFonts w:asciiTheme="majorHAnsi" w:hAnsiTheme="majorHAnsi"/>
          <w:sz w:val="20"/>
          <w:lang w:val="en-GB"/>
        </w:rPr>
        <w:t xml:space="preserve">were performed </w:t>
      </w:r>
      <w:r w:rsidRPr="0068737D">
        <w:rPr>
          <w:rFonts w:asciiTheme="majorHAnsi" w:hAnsiTheme="majorHAnsi"/>
          <w:sz w:val="20"/>
          <w:lang w:val="en-GB"/>
        </w:rPr>
        <w:t>in TBST buffer containing 2% BSA for 24 hours at 4°C</w:t>
      </w:r>
      <w:r>
        <w:rPr>
          <w:rFonts w:asciiTheme="majorHAnsi" w:hAnsiTheme="majorHAnsi"/>
          <w:sz w:val="20"/>
          <w:lang w:val="en-GB"/>
        </w:rPr>
        <w:t>,</w:t>
      </w:r>
      <w:r w:rsidRPr="0068737D">
        <w:rPr>
          <w:rFonts w:asciiTheme="majorHAnsi" w:hAnsiTheme="majorHAnsi"/>
          <w:sz w:val="20"/>
          <w:lang w:val="en-GB"/>
        </w:rPr>
        <w:t xml:space="preserve"> followed by washing with TBST buffer. </w:t>
      </w:r>
      <w:r>
        <w:rPr>
          <w:rFonts w:asciiTheme="majorHAnsi" w:hAnsiTheme="majorHAnsi"/>
          <w:sz w:val="20"/>
          <w:lang w:val="en-GB"/>
        </w:rPr>
        <w:t>Subsequently, b</w:t>
      </w:r>
      <w:r w:rsidRPr="0068737D">
        <w:rPr>
          <w:rFonts w:asciiTheme="majorHAnsi" w:hAnsiTheme="majorHAnsi"/>
          <w:sz w:val="20"/>
          <w:lang w:val="en-GB"/>
        </w:rPr>
        <w:t xml:space="preserve">lots were incubated with </w:t>
      </w:r>
      <w:r>
        <w:rPr>
          <w:rFonts w:asciiTheme="majorHAnsi" w:hAnsiTheme="majorHAnsi"/>
          <w:sz w:val="20"/>
          <w:lang w:val="en-GB"/>
        </w:rPr>
        <w:t xml:space="preserve">IRDye® conjugated </w:t>
      </w:r>
      <w:r w:rsidRPr="0068737D">
        <w:rPr>
          <w:rFonts w:asciiTheme="majorHAnsi" w:hAnsiTheme="majorHAnsi"/>
          <w:sz w:val="20"/>
          <w:lang w:val="en-GB"/>
        </w:rPr>
        <w:t>secondary antibodies (LI-COR</w:t>
      </w:r>
      <w:r>
        <w:rPr>
          <w:rFonts w:asciiTheme="majorHAnsi" w:hAnsiTheme="majorHAnsi"/>
          <w:sz w:val="20"/>
          <w:lang w:val="en-GB"/>
        </w:rPr>
        <w:t xml:space="preserve"> Biosciences</w:t>
      </w:r>
      <w:r w:rsidRPr="0068737D">
        <w:rPr>
          <w:rFonts w:asciiTheme="majorHAnsi" w:hAnsiTheme="majorHAnsi"/>
          <w:sz w:val="20"/>
          <w:lang w:val="en-GB"/>
        </w:rPr>
        <w:t>) in TBST with 2% non-fat dry milk for one hour at room temperature and washed again. Antibody fluorescence was visualized using an ODYSSEY® CLx scanner (LI-COR</w:t>
      </w:r>
      <w:r>
        <w:rPr>
          <w:rFonts w:asciiTheme="majorHAnsi" w:hAnsiTheme="majorHAnsi"/>
          <w:sz w:val="20"/>
          <w:lang w:val="en-GB"/>
        </w:rPr>
        <w:t xml:space="preserve"> Biosciences</w:t>
      </w:r>
      <w:r w:rsidRPr="0068737D">
        <w:rPr>
          <w:rFonts w:asciiTheme="majorHAnsi" w:hAnsiTheme="majorHAnsi"/>
          <w:sz w:val="20"/>
          <w:lang w:val="en-GB"/>
        </w:rPr>
        <w:t xml:space="preserve">). </w:t>
      </w:r>
    </w:p>
    <w:p w14:paraId="7E5BE51A" w14:textId="77777777" w:rsidR="00F10FAE" w:rsidRPr="0068737D" w:rsidRDefault="00F10FAE" w:rsidP="00F10FAE">
      <w:pPr>
        <w:spacing w:after="0" w:line="240" w:lineRule="auto"/>
        <w:jc w:val="both"/>
        <w:rPr>
          <w:rFonts w:asciiTheme="majorHAnsi" w:hAnsiTheme="majorHAnsi"/>
          <w:b/>
        </w:rPr>
      </w:pPr>
    </w:p>
    <w:p w14:paraId="26710F15" w14:textId="77777777" w:rsidR="00F10FAE" w:rsidRPr="009C5BA9" w:rsidRDefault="00F10FAE" w:rsidP="00F10FAE">
      <w:pPr>
        <w:spacing w:after="0" w:line="360" w:lineRule="auto"/>
        <w:jc w:val="both"/>
        <w:rPr>
          <w:rFonts w:asciiTheme="majorHAnsi" w:hAnsiTheme="majorHAnsi"/>
          <w:b/>
          <w:bCs/>
          <w:sz w:val="20"/>
          <w:u w:val="single"/>
          <w:lang w:val="en-GB"/>
        </w:rPr>
      </w:pPr>
      <w:r w:rsidRPr="00E21348">
        <w:rPr>
          <w:rFonts w:asciiTheme="majorHAnsi" w:hAnsiTheme="majorHAnsi"/>
          <w:b/>
          <w:bCs/>
          <w:sz w:val="20"/>
          <w:u w:val="single"/>
          <w:lang w:val="en-GB"/>
        </w:rPr>
        <w:t>High-resolution cellular respirometry</w:t>
      </w:r>
    </w:p>
    <w:p w14:paraId="5A5C5D30" w14:textId="77777777" w:rsidR="00F10FAE" w:rsidRPr="0068737D" w:rsidRDefault="00F10FAE" w:rsidP="00F10FAE">
      <w:pPr>
        <w:spacing w:line="360" w:lineRule="auto"/>
        <w:jc w:val="both"/>
        <w:rPr>
          <w:rFonts w:asciiTheme="majorHAnsi" w:hAnsiTheme="majorHAnsi"/>
          <w:sz w:val="20"/>
        </w:rPr>
      </w:pPr>
      <w:r w:rsidRPr="0068737D">
        <w:rPr>
          <w:rFonts w:asciiTheme="majorHAnsi" w:hAnsiTheme="majorHAnsi"/>
          <w:sz w:val="20"/>
        </w:rPr>
        <w:t xml:space="preserve">A semi-automated method was used to isolate crude mitochondria from lymphocytes </w:t>
      </w:r>
      <w:r w:rsidRPr="0068737D">
        <w:rPr>
          <w:rFonts w:asciiTheme="majorHAnsi" w:hAnsiTheme="majorHAnsi"/>
          <w:sz w:val="20"/>
        </w:rPr>
        <w:fldChar w:fldCharType="begin" w:fldLock="1"/>
      </w:r>
      <w:r w:rsidRPr="0068737D">
        <w:rPr>
          <w:rFonts w:asciiTheme="majorHAnsi" w:hAnsiTheme="majorHAnsi"/>
          <w:sz w:val="20"/>
        </w:rPr>
        <w:instrText>ADDIN CSL_CITATION { "citationItems" : [ { "id" : "ITEM-1", "itemData" : { "DOI" : "10.1016/j.ab.2013.08.007", "ISSN" : "00032697", "PMID" : "23969012", "abstract" : "Mitochondrial dysfunctions decisively contribute to the progression of human diseases, implying that functional tests of isolated mitochondria may furnish conclusive information for diagnosis and therapy. Classical mitochondrial isolation methods, however, lack precisely adjustable settings for cell rupture, which is the most critical step in this procedure, and this complicates subsequent analyses. Here, we present an efficient method to isolate functionally active, intact mitochondria from cultured or primary cells and minute tissue samples in a rapid, highly reproducible manner.", "author" : [ { "dropping-particle" : "", "family" : "Schmitt", "given" : "Sabine", "non-dropping-particle" : "", "parse-names" : false, "suffix" : "" }, { "dropping-particle" : "", "family" : "Saathoff", "given" : "Friederike", "non-dropping-particle" : "", "parse-names" : false, "suffix" : "" }, { "dropping-particle" : "", "family" : "Meissner", "given" : "Lilja", "non-dropping-particle" : "", "parse-names" : false, "suffix" : "" }, { "dropping-particle" : "", "family" : "Schropp", "given" : "Eva-Maria", "non-dropping-particle" : "", "parse-names" : false, "suffix" : "" }, { "dropping-particle" : "", "family" : "Lichtmannegger", "given" : "Josef", "non-dropping-particle" : "", "parse-names" : false, "suffix" : "" }, { "dropping-particle" : "", "family" : "Schulz", "given" : "Sabine", "non-dropping-particle" : "", "parse-names" : false, "suffix" : "" }, { "dropping-particle" : "", "family" : "Eberhagen", "given" : "Carola", "non-dropping-particle" : "", "parse-names" : false, "suffix" : "" }, { "dropping-particle" : "", "family" : "Borchard", "given" : "Sabine", "non-dropping-particle" : "", "parse-names" : false, "suffix" : "" }, { "dropping-particle" : "", "family" : "Aichler", "given" : "Michaela", "non-dropping-particle" : "", "parse-names" : false, "suffix" : "" }, { "dropping-particle" : "", "family" : "Adamski", "given" : "Jerzy", "non-dropping-particle" : "", "parse-names" : false, "suffix" : "" }, { "dropping-particle" : "", "family" : "Plesnila", "given" : "Nikolaus", "non-dropping-particle" : "", "parse-names" : false, "suffix" : "" }, { "dropping-particle" : "", "family" : "Rothenfusser", "given" : "Simon", "non-dropping-particle" : "", "parse-names" : false, "suffix" : "" }, { "dropping-particle" : "", "family" : "Kroemer", "given" : "Guido", "non-dropping-particle" : "", "parse-names" : false, "suffix" : "" }, { "dropping-particle" : "", "family" : "Zischka", "given" : "Hans", "non-dropping-particle" : "", "parse-names" : false, "suffix" : "" } ], "container-title" : "Analytical Biochemistry", "id" : "ITEM-1", "issue" : "1", "issued" : { "date-parts" : [ [ "2013", "12", "1" ] ] }, "page" : "66-74", "title" : "A semi-automated method for isolating functionally intact mitochondria from cultured cells and tissue biopsies", "type" : "article-journal", "volume" : "443" }, "uris" : [ "http://www.mendeley.com/documents/?uuid=603abf9d-1a83-33bd-8b45-647dc071e579" ] } ], "mendeley" : { "formattedCitation" : "[11]", "plainTextFormattedCitation" : "[11]", "previouslyFormattedCitation" : "[11]" }, "properties" : { "noteIndex" : 0 }, "schema" : "https://github.com/citation-style-language/schema/raw/master/csl-citation.json" }</w:instrText>
      </w:r>
      <w:r w:rsidRPr="0068737D">
        <w:rPr>
          <w:rFonts w:asciiTheme="majorHAnsi" w:hAnsiTheme="majorHAnsi"/>
          <w:sz w:val="20"/>
        </w:rPr>
        <w:fldChar w:fldCharType="separate"/>
      </w:r>
      <w:r w:rsidRPr="0068737D">
        <w:rPr>
          <w:rFonts w:asciiTheme="majorHAnsi" w:hAnsiTheme="majorHAnsi"/>
          <w:noProof/>
          <w:sz w:val="20"/>
        </w:rPr>
        <w:t>[11]</w:t>
      </w:r>
      <w:r w:rsidRPr="0068737D">
        <w:rPr>
          <w:rFonts w:asciiTheme="majorHAnsi" w:hAnsiTheme="majorHAnsi"/>
          <w:sz w:val="20"/>
        </w:rPr>
        <w:fldChar w:fldCharType="end"/>
      </w:r>
      <w:r w:rsidRPr="0068737D">
        <w:rPr>
          <w:rFonts w:asciiTheme="majorHAnsi" w:hAnsiTheme="majorHAnsi"/>
          <w:sz w:val="20"/>
        </w:rPr>
        <w:t>. LCLs were cultured in T75 flasks and collect</w:t>
      </w:r>
      <w:r>
        <w:rPr>
          <w:rFonts w:asciiTheme="majorHAnsi" w:hAnsiTheme="majorHAnsi"/>
          <w:sz w:val="20"/>
        </w:rPr>
        <w:t>ed in isolation medium (pH 7.5)</w:t>
      </w:r>
      <w:r w:rsidRPr="0068737D">
        <w:rPr>
          <w:rFonts w:asciiTheme="majorHAnsi" w:hAnsiTheme="majorHAnsi"/>
          <w:sz w:val="20"/>
        </w:rPr>
        <w:t xml:space="preserve"> containing sucrose (250</w:t>
      </w:r>
      <w:r>
        <w:rPr>
          <w:rFonts w:asciiTheme="majorHAnsi" w:hAnsiTheme="majorHAnsi"/>
          <w:sz w:val="20"/>
        </w:rPr>
        <w:t xml:space="preserve"> </w:t>
      </w:r>
      <w:r w:rsidRPr="0068737D">
        <w:rPr>
          <w:rFonts w:asciiTheme="majorHAnsi" w:hAnsiTheme="majorHAnsi"/>
          <w:sz w:val="20"/>
        </w:rPr>
        <w:t>mM), EDTA (3</w:t>
      </w:r>
      <w:r>
        <w:rPr>
          <w:rFonts w:asciiTheme="majorHAnsi" w:hAnsiTheme="majorHAnsi"/>
          <w:sz w:val="20"/>
        </w:rPr>
        <w:t xml:space="preserve"> </w:t>
      </w:r>
      <w:r w:rsidRPr="0068737D">
        <w:rPr>
          <w:rFonts w:asciiTheme="majorHAnsi" w:hAnsiTheme="majorHAnsi"/>
          <w:sz w:val="20"/>
        </w:rPr>
        <w:t>mM)</w:t>
      </w:r>
      <w:r>
        <w:rPr>
          <w:rFonts w:asciiTheme="majorHAnsi" w:hAnsiTheme="majorHAnsi"/>
          <w:sz w:val="20"/>
        </w:rPr>
        <w:t>,</w:t>
      </w:r>
      <w:r w:rsidRPr="0068737D">
        <w:rPr>
          <w:rFonts w:asciiTheme="majorHAnsi" w:hAnsiTheme="majorHAnsi"/>
          <w:sz w:val="20"/>
        </w:rPr>
        <w:t xml:space="preserve"> and HEPES (20</w:t>
      </w:r>
      <w:r>
        <w:rPr>
          <w:rFonts w:asciiTheme="majorHAnsi" w:hAnsiTheme="majorHAnsi"/>
          <w:sz w:val="20"/>
        </w:rPr>
        <w:t xml:space="preserve"> </w:t>
      </w:r>
      <w:r w:rsidRPr="0068737D">
        <w:rPr>
          <w:rFonts w:asciiTheme="majorHAnsi" w:hAnsiTheme="majorHAnsi"/>
          <w:sz w:val="20"/>
        </w:rPr>
        <w:t xml:space="preserve">mM). High-precision cell breakage was achieved with </w:t>
      </w:r>
      <w:r>
        <w:rPr>
          <w:rFonts w:asciiTheme="majorHAnsi" w:hAnsiTheme="majorHAnsi"/>
          <w:sz w:val="20"/>
        </w:rPr>
        <w:t>a Balch homogenizer</w:t>
      </w:r>
      <w:r w:rsidRPr="0068737D">
        <w:rPr>
          <w:rFonts w:asciiTheme="majorHAnsi" w:hAnsiTheme="majorHAnsi"/>
          <w:sz w:val="20"/>
        </w:rPr>
        <w:t xml:space="preserve"> and a 4µm </w:t>
      </w:r>
      <w:r>
        <w:rPr>
          <w:rFonts w:asciiTheme="majorHAnsi" w:hAnsiTheme="majorHAnsi"/>
          <w:sz w:val="20"/>
        </w:rPr>
        <w:t>wall-to-ball bearing clearance</w:t>
      </w:r>
      <w:r w:rsidRPr="0068737D">
        <w:rPr>
          <w:rFonts w:asciiTheme="majorHAnsi" w:hAnsiTheme="majorHAnsi"/>
          <w:sz w:val="20"/>
        </w:rPr>
        <w:t xml:space="preserve">. </w:t>
      </w:r>
      <w:r>
        <w:rPr>
          <w:rFonts w:asciiTheme="majorHAnsi" w:hAnsiTheme="majorHAnsi"/>
          <w:sz w:val="20"/>
        </w:rPr>
        <w:t>C</w:t>
      </w:r>
      <w:r w:rsidRPr="0068737D">
        <w:rPr>
          <w:rFonts w:asciiTheme="majorHAnsi" w:hAnsiTheme="majorHAnsi"/>
          <w:sz w:val="20"/>
        </w:rPr>
        <w:t xml:space="preserve">ell </w:t>
      </w:r>
      <w:r>
        <w:rPr>
          <w:rFonts w:asciiTheme="majorHAnsi" w:hAnsiTheme="majorHAnsi"/>
          <w:sz w:val="20"/>
        </w:rPr>
        <w:t>homogenates</w:t>
      </w:r>
      <w:r w:rsidRPr="0068737D">
        <w:rPr>
          <w:rFonts w:asciiTheme="majorHAnsi" w:hAnsiTheme="majorHAnsi"/>
          <w:sz w:val="20"/>
        </w:rPr>
        <w:t xml:space="preserve"> </w:t>
      </w:r>
      <w:r>
        <w:rPr>
          <w:rFonts w:asciiTheme="majorHAnsi" w:hAnsiTheme="majorHAnsi"/>
          <w:sz w:val="20"/>
        </w:rPr>
        <w:t>were</w:t>
      </w:r>
      <w:r w:rsidRPr="0068737D">
        <w:rPr>
          <w:rFonts w:asciiTheme="majorHAnsi" w:hAnsiTheme="majorHAnsi"/>
          <w:sz w:val="20"/>
        </w:rPr>
        <w:t xml:space="preserve"> pumped </w:t>
      </w:r>
      <w:r>
        <w:rPr>
          <w:rFonts w:asciiTheme="majorHAnsi" w:hAnsiTheme="majorHAnsi"/>
          <w:sz w:val="20"/>
        </w:rPr>
        <w:t>3</w:t>
      </w:r>
      <w:r w:rsidRPr="0068737D">
        <w:rPr>
          <w:rFonts w:asciiTheme="majorHAnsi" w:hAnsiTheme="majorHAnsi"/>
          <w:sz w:val="20"/>
        </w:rPr>
        <w:t xml:space="preserve"> times through the homogenizer </w:t>
      </w:r>
      <w:r>
        <w:rPr>
          <w:rFonts w:asciiTheme="majorHAnsi" w:hAnsiTheme="majorHAnsi"/>
          <w:sz w:val="20"/>
        </w:rPr>
        <w:t>(</w:t>
      </w:r>
      <w:r w:rsidRPr="0068737D">
        <w:rPr>
          <w:rFonts w:asciiTheme="majorHAnsi" w:hAnsiTheme="majorHAnsi"/>
          <w:sz w:val="20"/>
        </w:rPr>
        <w:t>0.71 m</w:t>
      </w:r>
      <w:r>
        <w:rPr>
          <w:rFonts w:asciiTheme="majorHAnsi" w:hAnsiTheme="majorHAnsi"/>
          <w:sz w:val="20"/>
        </w:rPr>
        <w:t>L</w:t>
      </w:r>
      <w:r w:rsidRPr="0068737D">
        <w:rPr>
          <w:rFonts w:asciiTheme="majorHAnsi" w:hAnsiTheme="majorHAnsi"/>
          <w:sz w:val="20"/>
        </w:rPr>
        <w:t>/minute</w:t>
      </w:r>
      <w:r>
        <w:rPr>
          <w:rFonts w:asciiTheme="majorHAnsi" w:hAnsiTheme="majorHAnsi"/>
          <w:sz w:val="20"/>
        </w:rPr>
        <w:t xml:space="preserve">) and </w:t>
      </w:r>
      <w:r w:rsidRPr="0068737D">
        <w:rPr>
          <w:rFonts w:asciiTheme="majorHAnsi" w:hAnsiTheme="majorHAnsi"/>
          <w:sz w:val="20"/>
        </w:rPr>
        <w:lastRenderedPageBreak/>
        <w:t>centrifuged at 800</w:t>
      </w:r>
      <w:r>
        <w:rPr>
          <w:rFonts w:asciiTheme="majorHAnsi" w:hAnsiTheme="majorHAnsi"/>
          <w:sz w:val="20"/>
        </w:rPr>
        <w:t xml:space="preserve"> </w:t>
      </w:r>
      <w:r w:rsidRPr="0068737D">
        <w:rPr>
          <w:rFonts w:asciiTheme="majorHAnsi" w:hAnsiTheme="majorHAnsi"/>
          <w:sz w:val="20"/>
        </w:rPr>
        <w:t xml:space="preserve">rpm for 10 minutes. The supernatant was collected and centrifuged </w:t>
      </w:r>
      <w:r>
        <w:rPr>
          <w:rFonts w:asciiTheme="majorHAnsi" w:hAnsiTheme="majorHAnsi"/>
          <w:sz w:val="20"/>
        </w:rPr>
        <w:t>at</w:t>
      </w:r>
      <w:r w:rsidRPr="0068737D">
        <w:rPr>
          <w:rFonts w:asciiTheme="majorHAnsi" w:hAnsiTheme="majorHAnsi"/>
          <w:sz w:val="20"/>
        </w:rPr>
        <w:t xml:space="preserve"> 9000</w:t>
      </w:r>
      <w:r>
        <w:rPr>
          <w:rFonts w:asciiTheme="majorHAnsi" w:hAnsiTheme="majorHAnsi"/>
          <w:sz w:val="20"/>
        </w:rPr>
        <w:t xml:space="preserve"> </w:t>
      </w:r>
      <w:r w:rsidRPr="0068737D">
        <w:rPr>
          <w:rFonts w:asciiTheme="majorHAnsi" w:hAnsiTheme="majorHAnsi"/>
          <w:sz w:val="20"/>
        </w:rPr>
        <w:t>g</w:t>
      </w:r>
      <w:r>
        <w:rPr>
          <w:rFonts w:asciiTheme="majorHAnsi" w:hAnsiTheme="majorHAnsi"/>
          <w:sz w:val="20"/>
        </w:rPr>
        <w:t xml:space="preserve"> for 10 minutes</w:t>
      </w:r>
      <w:r w:rsidRPr="0068737D">
        <w:rPr>
          <w:rFonts w:asciiTheme="majorHAnsi" w:hAnsiTheme="majorHAnsi"/>
          <w:sz w:val="20"/>
        </w:rPr>
        <w:t>. The mitochondria</w:t>
      </w:r>
      <w:r>
        <w:rPr>
          <w:rFonts w:asciiTheme="majorHAnsi" w:hAnsiTheme="majorHAnsi"/>
          <w:sz w:val="20"/>
        </w:rPr>
        <w:t xml:space="preserve">l pellet was collected in </w:t>
      </w:r>
      <w:r w:rsidRPr="0068737D">
        <w:rPr>
          <w:rFonts w:asciiTheme="majorHAnsi" w:hAnsiTheme="majorHAnsi"/>
          <w:sz w:val="20"/>
        </w:rPr>
        <w:t>150</w:t>
      </w:r>
      <w:r>
        <w:rPr>
          <w:rFonts w:asciiTheme="majorHAnsi" w:hAnsiTheme="majorHAnsi"/>
          <w:sz w:val="20"/>
        </w:rPr>
        <w:t xml:space="preserve"> </w:t>
      </w:r>
      <w:r w:rsidRPr="0068737D">
        <w:rPr>
          <w:rFonts w:asciiTheme="majorHAnsi" w:hAnsiTheme="majorHAnsi"/>
          <w:sz w:val="20"/>
        </w:rPr>
        <w:t xml:space="preserve">µL </w:t>
      </w:r>
      <w:r>
        <w:rPr>
          <w:rFonts w:asciiTheme="majorHAnsi" w:hAnsiTheme="majorHAnsi"/>
          <w:sz w:val="20"/>
        </w:rPr>
        <w:t>of isolation buffer. P</w:t>
      </w:r>
      <w:r w:rsidRPr="0068737D">
        <w:rPr>
          <w:rFonts w:asciiTheme="majorHAnsi" w:hAnsiTheme="majorHAnsi"/>
          <w:sz w:val="20"/>
        </w:rPr>
        <w:t xml:space="preserve">rotein content was measured </w:t>
      </w:r>
      <w:r>
        <w:rPr>
          <w:rFonts w:asciiTheme="majorHAnsi" w:hAnsiTheme="majorHAnsi"/>
          <w:sz w:val="20"/>
        </w:rPr>
        <w:t>using the</w:t>
      </w:r>
      <w:r w:rsidRPr="0068737D">
        <w:rPr>
          <w:rFonts w:asciiTheme="majorHAnsi" w:hAnsiTheme="majorHAnsi"/>
          <w:sz w:val="20"/>
        </w:rPr>
        <w:t xml:space="preserve"> Pierce BCA assay.</w:t>
      </w:r>
    </w:p>
    <w:p w14:paraId="246FDBFF" w14:textId="77777777" w:rsidR="00F10FAE" w:rsidRPr="0068737D" w:rsidRDefault="00F10FAE" w:rsidP="00F10FAE">
      <w:pPr>
        <w:spacing w:after="0" w:line="360" w:lineRule="auto"/>
        <w:jc w:val="both"/>
        <w:rPr>
          <w:rFonts w:asciiTheme="majorHAnsi" w:hAnsiTheme="majorHAnsi"/>
          <w:sz w:val="20"/>
          <w:lang w:val="en-GB"/>
        </w:rPr>
      </w:pPr>
      <w:r w:rsidRPr="0068737D">
        <w:rPr>
          <w:rFonts w:asciiTheme="majorHAnsi" w:hAnsiTheme="majorHAnsi"/>
          <w:sz w:val="20"/>
          <w:lang w:val="en-GB"/>
        </w:rPr>
        <w:t xml:space="preserve">Mitochondrial respiration </w:t>
      </w:r>
      <w:r>
        <w:rPr>
          <w:rFonts w:asciiTheme="majorHAnsi" w:hAnsiTheme="majorHAnsi"/>
          <w:sz w:val="20"/>
          <w:lang w:val="en-GB"/>
        </w:rPr>
        <w:t>of</w:t>
      </w:r>
      <w:r w:rsidRPr="0068737D">
        <w:rPr>
          <w:rFonts w:asciiTheme="majorHAnsi" w:hAnsiTheme="majorHAnsi"/>
          <w:sz w:val="20"/>
          <w:lang w:val="en-GB"/>
        </w:rPr>
        <w:t xml:space="preserve"> LCLs was analyzed by high-resolution respirometry </w:t>
      </w:r>
      <w:r>
        <w:rPr>
          <w:rFonts w:asciiTheme="majorHAnsi" w:hAnsiTheme="majorHAnsi"/>
          <w:sz w:val="20"/>
          <w:lang w:val="en-GB"/>
        </w:rPr>
        <w:t>using</w:t>
      </w:r>
      <w:r w:rsidRPr="0068737D">
        <w:rPr>
          <w:rFonts w:asciiTheme="majorHAnsi" w:hAnsiTheme="majorHAnsi"/>
          <w:sz w:val="20"/>
          <w:lang w:val="en-GB"/>
        </w:rPr>
        <w:t xml:space="preserve"> </w:t>
      </w:r>
      <w:r w:rsidRPr="00CA2F90">
        <w:rPr>
          <w:rFonts w:asciiTheme="majorHAnsi" w:hAnsiTheme="majorHAnsi"/>
          <w:sz w:val="20"/>
          <w:lang w:val="en-GB"/>
        </w:rPr>
        <w:t xml:space="preserve">the </w:t>
      </w:r>
      <w:r w:rsidRPr="00CA2F90">
        <w:rPr>
          <w:rFonts w:asciiTheme="majorHAnsi" w:hAnsiTheme="majorHAnsi"/>
          <w:iCs/>
          <w:sz w:val="20"/>
        </w:rPr>
        <w:t>Oxygraph</w:t>
      </w:r>
      <w:r w:rsidRPr="00CA2F90">
        <w:rPr>
          <w:rFonts w:asciiTheme="majorHAnsi" w:hAnsiTheme="majorHAnsi"/>
          <w:sz w:val="20"/>
        </w:rPr>
        <w:t>-2k (</w:t>
      </w:r>
      <w:r w:rsidRPr="00CA2F90">
        <w:rPr>
          <w:rFonts w:asciiTheme="majorHAnsi" w:hAnsiTheme="majorHAnsi"/>
          <w:iCs/>
          <w:sz w:val="20"/>
        </w:rPr>
        <w:t>O2k</w:t>
      </w:r>
      <w:r w:rsidRPr="00CA2F90">
        <w:rPr>
          <w:rFonts w:asciiTheme="majorHAnsi" w:hAnsiTheme="majorHAnsi"/>
          <w:sz w:val="20"/>
        </w:rPr>
        <w:t>, OROBOROS Instruments, Innsbruck, Austria)</w:t>
      </w:r>
      <w:r w:rsidRPr="00CA2F90">
        <w:rPr>
          <w:rFonts w:asciiTheme="majorHAnsi" w:hAnsiTheme="majorHAnsi"/>
          <w:sz w:val="20"/>
          <w:lang w:val="en-GB"/>
        </w:rPr>
        <w:t xml:space="preserve">. </w:t>
      </w:r>
      <w:r>
        <w:rPr>
          <w:rFonts w:asciiTheme="majorHAnsi" w:hAnsiTheme="majorHAnsi"/>
          <w:sz w:val="20"/>
          <w:lang w:val="en-GB"/>
        </w:rPr>
        <w:t>M</w:t>
      </w:r>
      <w:r w:rsidRPr="00CA2F90">
        <w:rPr>
          <w:rFonts w:asciiTheme="majorHAnsi" w:hAnsiTheme="majorHAnsi"/>
          <w:sz w:val="20"/>
          <w:lang w:val="en-GB"/>
        </w:rPr>
        <w:t xml:space="preserve">itochondrial respiration </w:t>
      </w:r>
      <w:r w:rsidRPr="0068737D">
        <w:rPr>
          <w:rFonts w:asciiTheme="majorHAnsi" w:hAnsiTheme="majorHAnsi"/>
          <w:sz w:val="20"/>
          <w:lang w:val="en-GB"/>
        </w:rPr>
        <w:t xml:space="preserve">was monitored </w:t>
      </w:r>
      <w:r>
        <w:rPr>
          <w:rFonts w:asciiTheme="majorHAnsi" w:hAnsiTheme="majorHAnsi"/>
          <w:sz w:val="20"/>
          <w:lang w:val="en-GB"/>
        </w:rPr>
        <w:t>during</w:t>
      </w:r>
      <w:r w:rsidRPr="0068737D">
        <w:rPr>
          <w:rFonts w:asciiTheme="majorHAnsi" w:hAnsiTheme="majorHAnsi"/>
          <w:sz w:val="20"/>
          <w:lang w:val="en-GB"/>
        </w:rPr>
        <w:t xml:space="preserve"> continuous stirring at 750</w:t>
      </w:r>
      <w:r>
        <w:rPr>
          <w:rFonts w:asciiTheme="majorHAnsi" w:hAnsiTheme="majorHAnsi"/>
          <w:sz w:val="20"/>
          <w:lang w:val="en-GB"/>
        </w:rPr>
        <w:t xml:space="preserve"> </w:t>
      </w:r>
      <w:r w:rsidRPr="0068737D">
        <w:rPr>
          <w:rFonts w:asciiTheme="majorHAnsi" w:hAnsiTheme="majorHAnsi"/>
          <w:sz w:val="20"/>
          <w:lang w:val="en-GB"/>
        </w:rPr>
        <w:t>rpm in 1ml MiR05 buffer (0.5mM EGTA, 3mM MgCl2, 60mM lactobionic acid, 20mM taurine, 10mM KH2PO4, 20mM HEPES, 110mM  D-Sucrose, BSA, 1g/L essentially fatty acid free, at pH7.4). Oxygen polarography</w:t>
      </w:r>
      <w:r>
        <w:rPr>
          <w:rFonts w:asciiTheme="majorHAnsi" w:hAnsiTheme="majorHAnsi"/>
          <w:sz w:val="20"/>
          <w:lang w:val="en-GB"/>
        </w:rPr>
        <w:t xml:space="preserve"> was performed at 37°C. O</w:t>
      </w:r>
      <w:r w:rsidRPr="0068737D">
        <w:rPr>
          <w:rFonts w:asciiTheme="majorHAnsi" w:hAnsiTheme="majorHAnsi"/>
          <w:sz w:val="20"/>
          <w:lang w:val="en-GB"/>
        </w:rPr>
        <w:t>xygen flux per tissue mass (pmol O2.s−1*mg−1) was recorded using DatLab software. Non-phosphorylating respiration or mitochondrial respiration state 2 was induced by adding the complex I-l</w:t>
      </w:r>
      <w:r>
        <w:rPr>
          <w:rFonts w:asciiTheme="majorHAnsi" w:hAnsiTheme="majorHAnsi"/>
          <w:sz w:val="20"/>
          <w:lang w:val="en-GB"/>
        </w:rPr>
        <w:t>inked substrates pyruvate (5mM)</w:t>
      </w:r>
      <w:r w:rsidRPr="0068737D">
        <w:rPr>
          <w:rFonts w:asciiTheme="majorHAnsi" w:hAnsiTheme="majorHAnsi"/>
          <w:sz w:val="20"/>
          <w:lang w:val="en-GB"/>
        </w:rPr>
        <w:t xml:space="preserve"> and malate (2mM). Subsequently, </w:t>
      </w:r>
      <w:r w:rsidRPr="00CA2F90">
        <w:rPr>
          <w:rFonts w:asciiTheme="majorHAnsi" w:hAnsiTheme="majorHAnsi"/>
          <w:sz w:val="20"/>
          <w:lang w:val="en-GB"/>
        </w:rPr>
        <w:t xml:space="preserve">the </w:t>
      </w:r>
      <w:r w:rsidRPr="00CA2F90">
        <w:rPr>
          <w:rFonts w:asciiTheme="majorHAnsi" w:hAnsiTheme="majorHAnsi"/>
          <w:bCs/>
          <w:sz w:val="20"/>
        </w:rPr>
        <w:t>oxidative phosphorylation</w:t>
      </w:r>
      <w:r w:rsidRPr="00CA2F90">
        <w:rPr>
          <w:rFonts w:asciiTheme="majorHAnsi" w:hAnsiTheme="majorHAnsi"/>
          <w:sz w:val="20"/>
          <w:lang w:val="en-GB"/>
        </w:rPr>
        <w:t xml:space="preserve"> </w:t>
      </w:r>
      <w:r w:rsidRPr="0068737D">
        <w:rPr>
          <w:rFonts w:asciiTheme="majorHAnsi" w:hAnsiTheme="majorHAnsi"/>
          <w:sz w:val="20"/>
          <w:lang w:val="en-GB"/>
        </w:rPr>
        <w:t>capacity of complex I-linked activity (state 3) was measured after addition of a saturating concentration of ADP (2.5</w:t>
      </w:r>
      <w:r>
        <w:rPr>
          <w:rFonts w:asciiTheme="majorHAnsi" w:hAnsiTheme="majorHAnsi"/>
          <w:sz w:val="20"/>
          <w:lang w:val="en-GB"/>
        </w:rPr>
        <w:t xml:space="preserve"> </w:t>
      </w:r>
      <w:r w:rsidRPr="0068737D">
        <w:rPr>
          <w:rFonts w:asciiTheme="majorHAnsi" w:hAnsiTheme="majorHAnsi"/>
          <w:sz w:val="20"/>
          <w:lang w:val="en-GB"/>
        </w:rPr>
        <w:t xml:space="preserve">mM). </w:t>
      </w:r>
      <w:r>
        <w:rPr>
          <w:rFonts w:asciiTheme="majorHAnsi" w:hAnsiTheme="majorHAnsi"/>
          <w:sz w:val="20"/>
          <w:lang w:val="en-GB"/>
        </w:rPr>
        <w:t>O</w:t>
      </w:r>
      <w:r w:rsidRPr="0068737D">
        <w:rPr>
          <w:rFonts w:asciiTheme="majorHAnsi" w:hAnsiTheme="majorHAnsi"/>
          <w:sz w:val="20"/>
          <w:lang w:val="en-GB"/>
        </w:rPr>
        <w:t>ligomycin (2</w:t>
      </w:r>
      <w:r w:rsidRPr="0068737D">
        <w:rPr>
          <w:rFonts w:asciiTheme="majorHAnsi" w:hAnsiTheme="majorHAnsi"/>
          <w:sz w:val="20"/>
          <w:lang w:val="nl-NL"/>
        </w:rPr>
        <w:t>μ</w:t>
      </w:r>
      <w:r w:rsidRPr="0068737D">
        <w:rPr>
          <w:rFonts w:asciiTheme="majorHAnsi" w:hAnsiTheme="majorHAnsi"/>
          <w:sz w:val="20"/>
          <w:lang w:val="en-GB"/>
        </w:rPr>
        <w:t>g/ml) was added to inhibit the ATP synthase and measure proton leak. The maximum respiration (state 4u) was induced by stepwise titration of the protonophore carbonyl cyanide 4-(trifluoromethoxy) phenylhydrazone (FCCP) in 1</w:t>
      </w:r>
      <w:r>
        <w:rPr>
          <w:rFonts w:asciiTheme="majorHAnsi" w:hAnsiTheme="majorHAnsi"/>
          <w:sz w:val="20"/>
          <w:lang w:val="en-GB"/>
        </w:rPr>
        <w:t xml:space="preserve"> </w:t>
      </w:r>
      <w:r w:rsidRPr="0068737D">
        <w:rPr>
          <w:rFonts w:asciiTheme="majorHAnsi" w:hAnsiTheme="majorHAnsi"/>
          <w:sz w:val="20"/>
          <w:lang w:val="nl-NL"/>
        </w:rPr>
        <w:t>μ</w:t>
      </w:r>
      <w:r w:rsidRPr="0068737D">
        <w:rPr>
          <w:rFonts w:asciiTheme="majorHAnsi" w:hAnsiTheme="majorHAnsi"/>
          <w:sz w:val="20"/>
          <w:lang w:val="en-GB"/>
        </w:rPr>
        <w:t xml:space="preserve">M steps until the maximum oxygen consumption was reached. The oxygen concentration and the first derivative of the oxygen concentration, reported as oxygen consumption </w:t>
      </w:r>
      <w:r>
        <w:rPr>
          <w:rFonts w:asciiTheme="majorHAnsi" w:hAnsiTheme="majorHAnsi"/>
          <w:sz w:val="20"/>
          <w:lang w:val="en-GB"/>
        </w:rPr>
        <w:t>[</w:t>
      </w:r>
      <w:r w:rsidRPr="0068737D">
        <w:rPr>
          <w:rFonts w:asciiTheme="majorHAnsi" w:hAnsiTheme="majorHAnsi"/>
          <w:sz w:val="20"/>
          <w:lang w:val="en-GB"/>
        </w:rPr>
        <w:t>O</w:t>
      </w:r>
      <w:r w:rsidRPr="00CA2F90">
        <w:rPr>
          <w:rFonts w:asciiTheme="majorHAnsi" w:hAnsiTheme="majorHAnsi"/>
          <w:sz w:val="20"/>
          <w:vertAlign w:val="subscript"/>
          <w:lang w:val="en-GB"/>
        </w:rPr>
        <w:t>2</w:t>
      </w:r>
      <w:r>
        <w:rPr>
          <w:rFonts w:asciiTheme="majorHAnsi" w:hAnsiTheme="majorHAnsi"/>
          <w:sz w:val="20"/>
          <w:lang w:val="en-GB"/>
        </w:rPr>
        <w:t xml:space="preserve"> slope, pmol*(mL/s)]</w:t>
      </w:r>
      <w:r w:rsidRPr="0068737D">
        <w:rPr>
          <w:rFonts w:asciiTheme="majorHAnsi" w:hAnsiTheme="majorHAnsi"/>
          <w:sz w:val="20"/>
          <w:lang w:val="en-GB"/>
        </w:rPr>
        <w:t xml:space="preserve"> of crude isolated mitochondria were recorded in 2</w:t>
      </w:r>
      <w:r>
        <w:rPr>
          <w:rFonts w:asciiTheme="majorHAnsi" w:hAnsiTheme="majorHAnsi"/>
          <w:sz w:val="20"/>
          <w:lang w:val="en-GB"/>
        </w:rPr>
        <w:t xml:space="preserve"> </w:t>
      </w:r>
      <w:r w:rsidRPr="0068737D">
        <w:rPr>
          <w:rFonts w:asciiTheme="majorHAnsi" w:hAnsiTheme="majorHAnsi"/>
          <w:sz w:val="20"/>
          <w:lang w:val="en-GB"/>
        </w:rPr>
        <w:t>s</w:t>
      </w:r>
      <w:r>
        <w:rPr>
          <w:rFonts w:asciiTheme="majorHAnsi" w:hAnsiTheme="majorHAnsi"/>
          <w:sz w:val="20"/>
          <w:lang w:val="en-GB"/>
        </w:rPr>
        <w:t>ec</w:t>
      </w:r>
      <w:r w:rsidRPr="0068737D">
        <w:rPr>
          <w:rFonts w:asciiTheme="majorHAnsi" w:hAnsiTheme="majorHAnsi"/>
          <w:sz w:val="20"/>
          <w:lang w:val="en-GB"/>
        </w:rPr>
        <w:t xml:space="preserve"> intervals </w:t>
      </w:r>
      <w:r>
        <w:rPr>
          <w:rFonts w:asciiTheme="majorHAnsi" w:hAnsiTheme="majorHAnsi"/>
          <w:sz w:val="20"/>
          <w:lang w:val="en-GB"/>
        </w:rPr>
        <w:t>following</w:t>
      </w:r>
      <w:r w:rsidRPr="0068737D">
        <w:rPr>
          <w:rFonts w:asciiTheme="majorHAnsi" w:hAnsiTheme="majorHAnsi"/>
          <w:sz w:val="20"/>
          <w:lang w:val="en-GB"/>
        </w:rPr>
        <w:t xml:space="preserve"> instrumental background correction and calibration of </w:t>
      </w:r>
      <w:r>
        <w:rPr>
          <w:rFonts w:asciiTheme="majorHAnsi" w:hAnsiTheme="majorHAnsi"/>
          <w:sz w:val="20"/>
          <w:lang w:val="en-GB"/>
        </w:rPr>
        <w:t xml:space="preserve">the </w:t>
      </w:r>
      <w:r w:rsidRPr="0068737D">
        <w:rPr>
          <w:rFonts w:asciiTheme="majorHAnsi" w:hAnsiTheme="majorHAnsi"/>
          <w:sz w:val="20"/>
          <w:lang w:val="en-GB"/>
        </w:rPr>
        <w:t xml:space="preserve">polarographic oxygen sensors. </w:t>
      </w:r>
    </w:p>
    <w:p w14:paraId="3E8BCD06" w14:textId="77777777" w:rsidR="004E0E91" w:rsidRDefault="004E0E91"/>
    <w:sectPr w:rsidR="004E0E91" w:rsidSect="00F10FAE">
      <w:footerReference w:type="even" r:id="rId6"/>
      <w:footerReference w:type="default" r:id="rId7"/>
      <w:pgSz w:w="11894" w:h="16834"/>
      <w:pgMar w:top="1411" w:right="1411" w:bottom="1411" w:left="1411" w:header="706" w:footer="706"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F636" w14:textId="77777777" w:rsidR="00A84C2B" w:rsidRDefault="00A84C2B" w:rsidP="00F10FAE">
      <w:pPr>
        <w:spacing w:after="0" w:line="240" w:lineRule="auto"/>
      </w:pPr>
      <w:r>
        <w:separator/>
      </w:r>
    </w:p>
  </w:endnote>
  <w:endnote w:type="continuationSeparator" w:id="0">
    <w:p w14:paraId="296D399C" w14:textId="77777777" w:rsidR="00A84C2B" w:rsidRDefault="00A84C2B" w:rsidP="00F1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E890" w14:textId="77777777" w:rsidR="00F10FAE" w:rsidRDefault="00F10FAE" w:rsidP="004A401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8AA638" w14:textId="77777777" w:rsidR="00F10FAE" w:rsidRDefault="00F10FAE" w:rsidP="00F10FA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B89F" w14:textId="77777777" w:rsidR="00F10FAE" w:rsidRDefault="00F10FAE" w:rsidP="004A401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4013">
      <w:rPr>
        <w:rStyle w:val="Paginanummer"/>
        <w:noProof/>
      </w:rPr>
      <w:t>1</w:t>
    </w:r>
    <w:r>
      <w:rPr>
        <w:rStyle w:val="Paginanummer"/>
      </w:rPr>
      <w:fldChar w:fldCharType="end"/>
    </w:r>
  </w:p>
  <w:p w14:paraId="42E4FC2A" w14:textId="77777777" w:rsidR="00F10FAE" w:rsidRDefault="00F10FAE" w:rsidP="00F10FAE">
    <w:pPr>
      <w:pStyle w:val="Voettekst"/>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E1B1" w14:textId="77777777" w:rsidR="00A84C2B" w:rsidRDefault="00A84C2B" w:rsidP="00F10FAE">
      <w:pPr>
        <w:spacing w:after="0" w:line="240" w:lineRule="auto"/>
      </w:pPr>
      <w:r>
        <w:separator/>
      </w:r>
    </w:p>
  </w:footnote>
  <w:footnote w:type="continuationSeparator" w:id="0">
    <w:p w14:paraId="2FA92447" w14:textId="77777777" w:rsidR="00A84C2B" w:rsidRDefault="00A84C2B" w:rsidP="00F10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CA"/>
    <w:rsid w:val="000117FA"/>
    <w:rsid w:val="00062A28"/>
    <w:rsid w:val="000D4245"/>
    <w:rsid w:val="00407DBB"/>
    <w:rsid w:val="004E0E91"/>
    <w:rsid w:val="005D25A2"/>
    <w:rsid w:val="00774013"/>
    <w:rsid w:val="00895ECA"/>
    <w:rsid w:val="00966179"/>
    <w:rsid w:val="009B523B"/>
    <w:rsid w:val="00A84C2B"/>
    <w:rsid w:val="00DF6BB3"/>
    <w:rsid w:val="00F10FAE"/>
    <w:rsid w:val="00F35778"/>
    <w:rsid w:val="00FB55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C98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95ECA"/>
    <w:pPr>
      <w:spacing w:after="200" w:line="276" w:lineRule="auto"/>
    </w:pPr>
    <w:rPr>
      <w:rFonts w:eastAsiaTheme="minorHAns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5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966179"/>
    <w:rPr>
      <w:sz w:val="18"/>
      <w:szCs w:val="18"/>
    </w:rPr>
  </w:style>
  <w:style w:type="paragraph" w:styleId="Tekstopmerking">
    <w:name w:val="annotation text"/>
    <w:basedOn w:val="Standaard"/>
    <w:link w:val="TekstopmerkingTeken"/>
    <w:uiPriority w:val="99"/>
    <w:semiHidden/>
    <w:unhideWhenUsed/>
    <w:rsid w:val="00966179"/>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966179"/>
    <w:rPr>
      <w:rFonts w:eastAsiaTheme="minorHAnsi"/>
      <w:lang w:val="en-US" w:eastAsia="en-US"/>
    </w:rPr>
  </w:style>
  <w:style w:type="paragraph" w:styleId="Onderwerpvanopmerking">
    <w:name w:val="annotation subject"/>
    <w:basedOn w:val="Tekstopmerking"/>
    <w:next w:val="Tekstopmerking"/>
    <w:link w:val="OnderwerpvanopmerkingTeken"/>
    <w:uiPriority w:val="99"/>
    <w:semiHidden/>
    <w:unhideWhenUsed/>
    <w:rsid w:val="00966179"/>
    <w:rPr>
      <w:b/>
      <w:bCs/>
      <w:sz w:val="20"/>
      <w:szCs w:val="20"/>
    </w:rPr>
  </w:style>
  <w:style w:type="character" w:customStyle="1" w:styleId="OnderwerpvanopmerkingTeken">
    <w:name w:val="Onderwerp van opmerking Teken"/>
    <w:basedOn w:val="TekstopmerkingTeken"/>
    <w:link w:val="Onderwerpvanopmerking"/>
    <w:uiPriority w:val="99"/>
    <w:semiHidden/>
    <w:rsid w:val="00966179"/>
    <w:rPr>
      <w:rFonts w:eastAsiaTheme="minorHAnsi"/>
      <w:b/>
      <w:bCs/>
      <w:sz w:val="20"/>
      <w:szCs w:val="20"/>
      <w:lang w:val="en-US" w:eastAsia="en-US"/>
    </w:rPr>
  </w:style>
  <w:style w:type="paragraph" w:styleId="Ballontekst">
    <w:name w:val="Balloon Text"/>
    <w:basedOn w:val="Standaard"/>
    <w:link w:val="BallontekstTeken"/>
    <w:uiPriority w:val="99"/>
    <w:semiHidden/>
    <w:unhideWhenUsed/>
    <w:rsid w:val="0096617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66179"/>
    <w:rPr>
      <w:rFonts w:ascii="Times New Roman" w:eastAsiaTheme="minorHAnsi" w:hAnsi="Times New Roman" w:cs="Times New Roman"/>
      <w:sz w:val="18"/>
      <w:szCs w:val="18"/>
      <w:lang w:val="en-US" w:eastAsia="en-US"/>
    </w:rPr>
  </w:style>
  <w:style w:type="paragraph" w:styleId="Koptekst">
    <w:name w:val="header"/>
    <w:basedOn w:val="Standaard"/>
    <w:link w:val="KoptekstTeken"/>
    <w:uiPriority w:val="99"/>
    <w:unhideWhenUsed/>
    <w:rsid w:val="00F10FAE"/>
    <w:pPr>
      <w:tabs>
        <w:tab w:val="center" w:pos="4320"/>
        <w:tab w:val="right" w:pos="8640"/>
      </w:tabs>
      <w:spacing w:after="0" w:line="240" w:lineRule="auto"/>
    </w:pPr>
  </w:style>
  <w:style w:type="character" w:customStyle="1" w:styleId="KoptekstTeken">
    <w:name w:val="Koptekst Teken"/>
    <w:basedOn w:val="Standaardalinea-lettertype"/>
    <w:link w:val="Koptekst"/>
    <w:uiPriority w:val="99"/>
    <w:rsid w:val="00F10FAE"/>
    <w:rPr>
      <w:rFonts w:eastAsiaTheme="minorHAnsi"/>
      <w:sz w:val="22"/>
      <w:szCs w:val="22"/>
      <w:lang w:val="en-US" w:eastAsia="en-US"/>
    </w:rPr>
  </w:style>
  <w:style w:type="paragraph" w:styleId="Voettekst">
    <w:name w:val="footer"/>
    <w:basedOn w:val="Standaard"/>
    <w:link w:val="VoettekstTeken"/>
    <w:uiPriority w:val="99"/>
    <w:unhideWhenUsed/>
    <w:rsid w:val="00F10FAE"/>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F10FAE"/>
    <w:rPr>
      <w:rFonts w:eastAsiaTheme="minorHAnsi"/>
      <w:sz w:val="22"/>
      <w:szCs w:val="22"/>
      <w:lang w:val="en-US" w:eastAsia="en-US"/>
    </w:rPr>
  </w:style>
  <w:style w:type="character" w:styleId="Paginanummer">
    <w:name w:val="page number"/>
    <w:basedOn w:val="Standaardalinea-lettertype"/>
    <w:uiPriority w:val="99"/>
    <w:semiHidden/>
    <w:unhideWhenUsed/>
    <w:rsid w:val="00F1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6712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Bouwkamp</dc:creator>
  <cp:lastModifiedBy>Christian Bouwkamp</cp:lastModifiedBy>
  <cp:revision>5</cp:revision>
  <dcterms:created xsi:type="dcterms:W3CDTF">2017-08-13T12:21:00Z</dcterms:created>
  <dcterms:modified xsi:type="dcterms:W3CDTF">2017-11-09T15:02:00Z</dcterms:modified>
</cp:coreProperties>
</file>