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7C168" w14:textId="4449B5AB" w:rsidR="00F63D93" w:rsidRDefault="00217191" w:rsidP="00217191">
      <w:pPr>
        <w:pStyle w:val="Heading1"/>
      </w:pPr>
      <w:r>
        <w:t>Supplementary materials</w:t>
      </w:r>
    </w:p>
    <w:p w14:paraId="1BEE6B8D" w14:textId="4C55A77B" w:rsidR="00217191" w:rsidRDefault="00217191" w:rsidP="00217191">
      <w:pPr>
        <w:pStyle w:val="Heading1"/>
      </w:pPr>
      <w:r>
        <w:t>Supplementary Table</w:t>
      </w:r>
    </w:p>
    <w:p w14:paraId="24A0BD4B" w14:textId="7BE08032" w:rsidR="00217191" w:rsidRDefault="00217191" w:rsidP="00217191">
      <w:pPr>
        <w:pStyle w:val="Heading1"/>
      </w:pPr>
      <w:r>
        <w:t xml:space="preserve">Table </w:t>
      </w:r>
      <w:r w:rsidR="00BC036F">
        <w:t>e-</w:t>
      </w:r>
      <w:r>
        <w:t xml:space="preserve">1: Diffusion-weighted scan sequences </w:t>
      </w:r>
      <w:r w:rsidR="00130549">
        <w:t xml:space="preserve">vendor, software version, and </w:t>
      </w:r>
      <w:r>
        <w:t>group</w:t>
      </w:r>
    </w:p>
    <w:tbl>
      <w:tblPr>
        <w:tblW w:w="13020" w:type="dxa"/>
        <w:tblLook w:val="04A0" w:firstRow="1" w:lastRow="0" w:firstColumn="1" w:lastColumn="0" w:noHBand="0" w:noVBand="1"/>
      </w:tblPr>
      <w:tblGrid>
        <w:gridCol w:w="6820"/>
        <w:gridCol w:w="1220"/>
        <w:gridCol w:w="1060"/>
        <w:gridCol w:w="1243"/>
        <w:gridCol w:w="1023"/>
        <w:gridCol w:w="960"/>
        <w:gridCol w:w="960"/>
      </w:tblGrid>
      <w:tr w:rsidR="00F35D48" w:rsidRPr="00130549" w14:paraId="535943D5" w14:textId="77777777" w:rsidTr="00130549">
        <w:trPr>
          <w:trHeight w:val="278"/>
        </w:trPr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0E3FF9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Sequence Description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90521" w14:textId="0A319E22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069C60" w14:textId="19E1BDDF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Software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AA0378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Unaffected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53B7FC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PreDM1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C60A87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DM1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8E9790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F35D48" w:rsidRPr="00130549" w14:paraId="1EA319E1" w14:textId="77777777" w:rsidTr="00F35D48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1806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single shell - B1000 x 64dir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6941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Siemens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E2F7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vB17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FD6B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A3B3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DBDA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FB29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F35D48" w:rsidRPr="00130549" w14:paraId="4F48B1CE" w14:textId="77777777" w:rsidTr="00F35D48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993D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2 runs single shell - B1000 x 64dir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A476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Siemens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FA8B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vB17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5867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2557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7BD1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F73D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35D48" w:rsidRPr="00130549" w14:paraId="5855411C" w14:textId="77777777" w:rsidTr="00F35D48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1317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multishell - B1000 x 30dir, B2000 x 30dir; single shell - B1000 x 64dir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185E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Siemens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C522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vB17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9446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2310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EA49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EBAE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35D48" w:rsidRPr="00130549" w14:paraId="126761FE" w14:textId="77777777" w:rsidTr="00F35D48">
        <w:trPr>
          <w:trHeight w:val="300"/>
        </w:trPr>
        <w:tc>
          <w:tcPr>
            <w:tcW w:w="6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B346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multishell - B1000 x 30dir, B2000 x 30dir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780B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2241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v25.0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CC71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C0B2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6EF7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CEC6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F35D48" w:rsidRPr="00130549" w14:paraId="5F153489" w14:textId="77777777" w:rsidTr="00F35D48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FB82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multishell - B1000 x 30dir, B2000 x 30dir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607A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EF47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v25.1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5128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479F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5B4F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9030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F35D48" w:rsidRPr="00130549" w14:paraId="608FFE99" w14:textId="77777777" w:rsidTr="00F35D48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6753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multishell - B1000 x 30dir, B2000 x 30dir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C927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8328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v26.0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72E5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7B1A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9253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59FD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F35D48" w:rsidRPr="00130549" w14:paraId="61A70DBB" w14:textId="77777777" w:rsidTr="00F35D48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71C8F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multishell - B1000 x 30dir, B2000 x 30dir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F5FC8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Siemens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A6096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vB17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827AB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6A867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77D17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6B6FF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35D48" w:rsidRPr="00130549" w14:paraId="3F3BA980" w14:textId="77777777" w:rsidTr="00F35D48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A882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multishell - B1000 x 29dir, B2000 x 30dir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5A72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Siemens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8B60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vB17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B20C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5DD7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AEA9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7405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35D48" w:rsidRPr="00130549" w14:paraId="525A7B09" w14:textId="77777777" w:rsidTr="00F35D48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26A7D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multishell - B1000 x 30dir, B2000 x 29dir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C3930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Siemens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AE956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vB17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66EAC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07BA6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46DDD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799F7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35D48" w:rsidRPr="00130549" w14:paraId="4C6E611A" w14:textId="77777777" w:rsidTr="00F35D48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EE18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multishell - B1000 x 29dir, B2000 x 30dir; single shell - B1000 x 64dir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0927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Siemens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EF83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vB17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6654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9A61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4A6F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844D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35D48" w:rsidRPr="00130549" w14:paraId="1DD6CD2C" w14:textId="77777777" w:rsidTr="00F35D48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00833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multishell - B1000 x 30dir, B2000 x 29dir; single shell - B1000 x 64dir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759A1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Siemens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64BCE" w14:textId="77777777" w:rsidR="00F35D48" w:rsidRPr="00130549" w:rsidRDefault="00F35D48" w:rsidP="00F3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vB17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70145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868F7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FAEB6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E53EF" w14:textId="77777777" w:rsidR="00F35D48" w:rsidRPr="00130549" w:rsidRDefault="00F35D48" w:rsidP="00F3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54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</w:tbl>
    <w:p w14:paraId="4F0131B9" w14:textId="77777777" w:rsidR="00130549" w:rsidRDefault="00130549"/>
    <w:p w14:paraId="65CCA8ED" w14:textId="77777777" w:rsidR="00130549" w:rsidRDefault="00130549">
      <w:pPr>
        <w:sectPr w:rsidR="00130549" w:rsidSect="0013054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31197EB" w14:textId="4AD3AED6" w:rsidR="00217191" w:rsidRDefault="00217191" w:rsidP="00217191">
      <w:pPr>
        <w:pStyle w:val="Heading1"/>
      </w:pPr>
      <w:r>
        <w:lastRenderedPageBreak/>
        <w:t>Supplementary Figure</w:t>
      </w:r>
      <w:r w:rsidR="00EA363B">
        <w:t>s</w:t>
      </w:r>
    </w:p>
    <w:p w14:paraId="005073AD" w14:textId="2CAB52D7" w:rsidR="00EA363B" w:rsidRPr="00BC036F" w:rsidRDefault="00EA363B" w:rsidP="00EA363B">
      <w:pPr>
        <w:pStyle w:val="Heading2"/>
        <w:spacing w:after="24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BC036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Figure e-1 </w:t>
      </w:r>
      <w:r w:rsidR="0035093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Density plots of whole brain white matter FA as a function of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scanner vendor (GE vs. Siemens) and software updated (v1 through v3). The top panel shows </w:t>
      </w:r>
      <w:r w:rsidR="0035093A">
        <w:rPr>
          <w:rFonts w:ascii="Times New Roman" w:hAnsi="Times New Roman" w:cs="Times New Roman"/>
          <w:i/>
          <w:iCs/>
          <w:color w:val="auto"/>
          <w:sz w:val="22"/>
          <w:szCs w:val="22"/>
        </w:rPr>
        <w:t>values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prior to harmonization and the lower panel depicts normalized </w:t>
      </w:r>
      <w:r w:rsidR="0035093A">
        <w:rPr>
          <w:rFonts w:ascii="Times New Roman" w:hAnsi="Times New Roman" w:cs="Times New Roman"/>
          <w:i/>
          <w:iCs/>
          <w:color w:val="auto"/>
          <w:sz w:val="22"/>
          <w:szCs w:val="22"/>
        </w:rPr>
        <w:t>values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. </w:t>
      </w:r>
    </w:p>
    <w:p w14:paraId="347564C8" w14:textId="73DAA530" w:rsidR="00EA363B" w:rsidRPr="00EA363B" w:rsidRDefault="0035093A" w:rsidP="00EA363B">
      <w:r>
        <w:rPr>
          <w:noProof/>
        </w:rPr>
        <w:drawing>
          <wp:inline distT="0" distB="0" distL="0" distR="0" wp14:anchorId="5D91B7AE" wp14:editId="75EBD86C">
            <wp:extent cx="5867400" cy="60883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08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FAE04" w14:textId="77777777" w:rsidR="00EA363B" w:rsidRDefault="00EA363B">
      <w:pPr>
        <w:rPr>
          <w:rFonts w:ascii="Times New Roman" w:eastAsiaTheme="majorEastAsia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0998C624" w14:textId="43051615" w:rsidR="00217191" w:rsidRPr="00BC036F" w:rsidRDefault="00217191" w:rsidP="00BC036F">
      <w:pPr>
        <w:pStyle w:val="Heading2"/>
        <w:spacing w:after="24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BC036F">
        <w:rPr>
          <w:rFonts w:ascii="Times New Roman" w:hAnsi="Times New Roman" w:cs="Times New Roman"/>
          <w:i/>
          <w:iCs/>
          <w:color w:val="auto"/>
          <w:sz w:val="22"/>
          <w:szCs w:val="22"/>
        </w:rPr>
        <w:lastRenderedPageBreak/>
        <w:t xml:space="preserve">Figure </w:t>
      </w:r>
      <w:r w:rsidR="00BC036F" w:rsidRPr="00BC036F">
        <w:rPr>
          <w:rFonts w:ascii="Times New Roman" w:hAnsi="Times New Roman" w:cs="Times New Roman"/>
          <w:i/>
          <w:iCs/>
          <w:color w:val="auto"/>
          <w:sz w:val="22"/>
          <w:szCs w:val="22"/>
        </w:rPr>
        <w:t>e-</w:t>
      </w:r>
      <w:r w:rsidR="00EA363B">
        <w:rPr>
          <w:rFonts w:ascii="Times New Roman" w:hAnsi="Times New Roman" w:cs="Times New Roman"/>
          <w:i/>
          <w:iCs/>
          <w:color w:val="auto"/>
          <w:sz w:val="22"/>
          <w:szCs w:val="22"/>
        </w:rPr>
        <w:t>2</w:t>
      </w:r>
      <w:r w:rsidR="00EA363B" w:rsidRPr="00BC036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BC036F">
        <w:rPr>
          <w:rFonts w:ascii="Times New Roman" w:hAnsi="Times New Roman" w:cs="Times New Roman"/>
          <w:i/>
          <w:iCs/>
          <w:color w:val="auto"/>
          <w:sz w:val="22"/>
          <w:szCs w:val="22"/>
        </w:rPr>
        <w:t>Regional white matter FA across groups</w:t>
      </w:r>
    </w:p>
    <w:p w14:paraId="44F5FD30" w14:textId="77777777" w:rsidR="00217191" w:rsidRPr="00BC036F" w:rsidRDefault="00217191" w:rsidP="00BC036F">
      <w:pPr>
        <w:spacing w:after="0" w:line="480" w:lineRule="auto"/>
        <w:rPr>
          <w:rFonts w:ascii="Times New Roman" w:hAnsi="Times New Roman" w:cs="Times New Roman"/>
          <w:noProof/>
        </w:rPr>
      </w:pPr>
      <w:r w:rsidRPr="00BC036F">
        <w:rPr>
          <w:rFonts w:ascii="Times New Roman" w:hAnsi="Times New Roman" w:cs="Times New Roman"/>
        </w:rPr>
        <w:t xml:space="preserve">The graph shows estimated marginal means (x-axis) across regions of interest (y-axis) for PreDM1 (diamonds) and manifest DM1 (circles). The vertical, dotted line represents control adults. Black indicates regions for which the </w:t>
      </w:r>
      <w:r w:rsidRPr="00BC036F">
        <w:rPr>
          <w:rFonts w:ascii="Times New Roman" w:hAnsi="Times New Roman" w:cs="Times New Roman"/>
          <w:noProof/>
        </w:rPr>
        <w:t xml:space="preserve">DM1 groups were statistically different from healthy adults at </w:t>
      </w:r>
      <w:r w:rsidRPr="00BC036F">
        <w:rPr>
          <w:rFonts w:ascii="Times New Roman" w:hAnsi="Times New Roman" w:cs="Times New Roman"/>
          <w:i/>
          <w:iCs/>
          <w:noProof/>
        </w:rPr>
        <w:t>p</w:t>
      </w:r>
      <w:r w:rsidRPr="00BC036F">
        <w:rPr>
          <w:rFonts w:ascii="Times New Roman" w:hAnsi="Times New Roman" w:cs="Times New Roman"/>
          <w:noProof/>
        </w:rPr>
        <w:t>&lt;0.05.</w:t>
      </w:r>
    </w:p>
    <w:p w14:paraId="3713B1CD" w14:textId="26243597" w:rsidR="00217191" w:rsidRPr="00217191" w:rsidRDefault="00BC036F" w:rsidP="00217191">
      <w:r>
        <w:rPr>
          <w:noProof/>
        </w:rPr>
        <w:drawing>
          <wp:inline distT="0" distB="0" distL="0" distR="0" wp14:anchorId="5628A032" wp14:editId="0B69ED46">
            <wp:extent cx="4586876" cy="6477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252" cy="648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7191" w:rsidRPr="00217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91"/>
    <w:rsid w:val="00130549"/>
    <w:rsid w:val="00146B3D"/>
    <w:rsid w:val="00217191"/>
    <w:rsid w:val="0035093A"/>
    <w:rsid w:val="00A406B5"/>
    <w:rsid w:val="00A603A1"/>
    <w:rsid w:val="00BC036F"/>
    <w:rsid w:val="00EA363B"/>
    <w:rsid w:val="00F35D48"/>
    <w:rsid w:val="00F6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ED72"/>
  <w15:chartTrackingRefBased/>
  <w15:docId w15:val="{CD88A364-9721-4E48-93E6-C750D290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191"/>
    <w:pPr>
      <w:keepNext/>
      <w:keepLines/>
      <w:spacing w:before="120" w:after="120" w:line="273" w:lineRule="auto"/>
      <w:outlineLvl w:val="0"/>
    </w:pPr>
    <w:rPr>
      <w:rFonts w:ascii="Times New Roman" w:eastAsia="Arial" w:hAnsi="Times New Roman" w:cs="Arial"/>
      <w:b/>
      <w:sz w:val="24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1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191"/>
    <w:rPr>
      <w:rFonts w:ascii="Times New Roman" w:eastAsia="Arial" w:hAnsi="Times New Roman" w:cs="Arial"/>
      <w:b/>
      <w:sz w:val="24"/>
      <w:szCs w:val="24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1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E2111-2DB8-4272-B339-274FBB9B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der Plas</dc:creator>
  <cp:keywords/>
  <dc:description/>
  <cp:lastModifiedBy>Ellen van der Plas</cp:lastModifiedBy>
  <cp:revision>3</cp:revision>
  <dcterms:created xsi:type="dcterms:W3CDTF">2020-12-11T16:08:00Z</dcterms:created>
  <dcterms:modified xsi:type="dcterms:W3CDTF">2020-12-11T17:42:00Z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http://www.zotero.org/styles/jama</vt:lpwstr>
  </property>
  <property fmtid="{D5CDD505-2E9C-101B-9397-08002B2CF9AE}" pid="9" name="Mendeley Recent Style Name 3_1">
    <vt:lpwstr>JAMA (The Journal of the American Medical Association)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8th edition</vt:lpwstr>
  </property>
  <property fmtid="{D5CDD505-2E9C-101B-9397-08002B2CF9AE}" pid="14" name="Mendeley Recent Style Id 6_1">
    <vt:lpwstr>http://www.zotero.org/styles/muscle-and-nerve</vt:lpwstr>
  </property>
  <property fmtid="{D5CDD505-2E9C-101B-9397-08002B2CF9AE}" pid="15" name="Mendeley Recent Style Name 6_1">
    <vt:lpwstr>Muscle &amp; Nerve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http://www.zotero.org/styles/neurology</vt:lpwstr>
  </property>
  <property fmtid="{D5CDD505-2E9C-101B-9397-08002B2CF9AE}" pid="19" name="Mendeley Recent Style Name 8_1">
    <vt:lpwstr>Neurology</vt:lpwstr>
  </property>
  <property fmtid="{D5CDD505-2E9C-101B-9397-08002B2CF9AE}" pid="20" name="Mendeley Recent Style Id 9_1">
    <vt:lpwstr>http://www.zotero.org/styles/springer-vancouver-brackets</vt:lpwstr>
  </property>
  <property fmtid="{D5CDD505-2E9C-101B-9397-08002B2CF9AE}" pid="21" name="Mendeley Recent Style Name 9_1">
    <vt:lpwstr>Springer - Vancouver (brackets)</vt:lpwstr>
  </property>
</Properties>
</file>