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74888" w14:textId="025D54D0" w:rsidR="00820B07" w:rsidRDefault="00DF0C87" w:rsidP="00820B07">
      <w:pPr>
        <w:rPr>
          <w:rFonts w:ascii="Times New Roman" w:hAnsi="Times New Roman" w:cs="Times New Roman"/>
          <w:b/>
          <w:sz w:val="28"/>
          <w:szCs w:val="28"/>
        </w:rPr>
      </w:pPr>
      <w:r w:rsidRPr="00F64863">
        <w:rPr>
          <w:rFonts w:ascii="Times New Roman" w:hAnsi="Times New Roman" w:cs="Times New Roman"/>
          <w:b/>
          <w:sz w:val="28"/>
          <w:szCs w:val="28"/>
        </w:rPr>
        <w:t xml:space="preserve">Supplemental </w:t>
      </w:r>
      <w:r w:rsidR="002A0E0B">
        <w:rPr>
          <w:rFonts w:ascii="Times New Roman" w:hAnsi="Times New Roman" w:cs="Times New Roman"/>
          <w:b/>
          <w:sz w:val="28"/>
          <w:szCs w:val="28"/>
        </w:rPr>
        <w:t>Data</w:t>
      </w:r>
    </w:p>
    <w:p w14:paraId="62B85F0B" w14:textId="2B7D1371" w:rsidR="00820B07" w:rsidRPr="00820B07" w:rsidRDefault="00F53C73" w:rsidP="00820B07">
      <w:pPr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Table e-1. </w:t>
      </w:r>
      <w:bookmarkStart w:id="0" w:name="_GoBack"/>
      <w:bookmarkEnd w:id="0"/>
      <w:r w:rsidR="00820B07" w:rsidRPr="00820B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Mutant allele ratios detected by </w:t>
      </w:r>
      <w:proofErr w:type="spellStart"/>
      <w:r w:rsidR="00820B07" w:rsidRPr="00820B07">
        <w:rPr>
          <w:rFonts w:ascii="Times New Roman" w:hAnsi="Times New Roman" w:cs="Times New Roman"/>
          <w:b/>
          <w:color w:val="FF0000"/>
          <w:sz w:val="24"/>
          <w:szCs w:val="24"/>
        </w:rPr>
        <w:t>ddPCR</w:t>
      </w:r>
      <w:proofErr w:type="spellEnd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1993"/>
        <w:gridCol w:w="2067"/>
        <w:gridCol w:w="1864"/>
        <w:gridCol w:w="2041"/>
        <w:gridCol w:w="2041"/>
        <w:gridCol w:w="1955"/>
      </w:tblGrid>
      <w:tr w:rsidR="00820B07" w:rsidRPr="00820B07" w14:paraId="70C23237" w14:textId="77777777" w:rsidTr="00A93BB7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14:paraId="56230A4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b/>
                <w:color w:val="FF0000"/>
                <w:sz w:val="24"/>
                <w:szCs w:val="24"/>
              </w:rPr>
            </w:pPr>
            <w:r w:rsidRPr="00820B07">
              <w:rPr>
                <w:b/>
                <w:color w:val="FF0000"/>
                <w:sz w:val="24"/>
                <w:szCs w:val="24"/>
              </w:rPr>
              <w:t>MUT ratios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14:paraId="194D309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b/>
                <w:color w:val="FF0000"/>
                <w:sz w:val="24"/>
                <w:szCs w:val="24"/>
              </w:rPr>
            </w:pPr>
            <w:r w:rsidRPr="00820B07">
              <w:rPr>
                <w:b/>
                <w:color w:val="FF0000"/>
                <w:sz w:val="24"/>
                <w:szCs w:val="24"/>
              </w:rPr>
              <w:t>ACD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</w:tcPr>
          <w:p w14:paraId="414EB81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b/>
                <w:color w:val="FF0000"/>
                <w:sz w:val="24"/>
                <w:szCs w:val="24"/>
              </w:rPr>
            </w:pPr>
            <w:r w:rsidRPr="00820B07">
              <w:rPr>
                <w:b/>
                <w:color w:val="FF0000"/>
                <w:sz w:val="24"/>
                <w:szCs w:val="24"/>
              </w:rPr>
              <w:t>MUT copy number*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14:paraId="03F87DDC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b/>
                <w:color w:val="FF0000"/>
                <w:sz w:val="24"/>
                <w:szCs w:val="24"/>
              </w:rPr>
            </w:pPr>
            <w:r w:rsidRPr="00820B07">
              <w:rPr>
                <w:b/>
                <w:color w:val="FF0000"/>
                <w:sz w:val="24"/>
                <w:szCs w:val="24"/>
              </w:rPr>
              <w:t>WT copy number*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</w:tcPr>
          <w:p w14:paraId="6F0102F0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b/>
                <w:color w:val="FF0000"/>
                <w:sz w:val="24"/>
                <w:szCs w:val="24"/>
              </w:rPr>
            </w:pPr>
            <w:r w:rsidRPr="00820B07">
              <w:rPr>
                <w:b/>
                <w:color w:val="FF0000"/>
                <w:sz w:val="24"/>
                <w:szCs w:val="24"/>
              </w:rPr>
              <w:t>MUT drop number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</w:tcPr>
          <w:p w14:paraId="14DA9CD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b/>
                <w:color w:val="FF0000"/>
                <w:sz w:val="24"/>
                <w:szCs w:val="24"/>
              </w:rPr>
            </w:pPr>
            <w:r w:rsidRPr="00820B07">
              <w:rPr>
                <w:b/>
                <w:color w:val="FF0000"/>
                <w:sz w:val="24"/>
                <w:szCs w:val="24"/>
              </w:rPr>
              <w:t>WT drop number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14:paraId="21C07E8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b/>
                <w:color w:val="FF0000"/>
                <w:sz w:val="24"/>
                <w:szCs w:val="24"/>
              </w:rPr>
            </w:pPr>
            <w:r w:rsidRPr="00820B07">
              <w:rPr>
                <w:b/>
                <w:color w:val="FF0000"/>
                <w:sz w:val="24"/>
                <w:szCs w:val="24"/>
              </w:rPr>
              <w:t>FA (%)</w:t>
            </w:r>
          </w:p>
        </w:tc>
      </w:tr>
      <w:tr w:rsidR="00820B07" w:rsidRPr="00820B07" w14:paraId="7A1341CC" w14:textId="77777777" w:rsidTr="00A93BB7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nil"/>
            </w:tcBorders>
          </w:tcPr>
          <w:p w14:paraId="650D64E2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5%</w:t>
            </w:r>
          </w:p>
        </w:tc>
        <w:tc>
          <w:tcPr>
            <w:tcW w:w="1994" w:type="dxa"/>
            <w:tcBorders>
              <w:top w:val="single" w:sz="4" w:space="0" w:color="auto"/>
              <w:bottom w:val="nil"/>
            </w:tcBorders>
          </w:tcPr>
          <w:p w14:paraId="4DE42A8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13301</w:t>
            </w:r>
          </w:p>
        </w:tc>
        <w:tc>
          <w:tcPr>
            <w:tcW w:w="2067" w:type="dxa"/>
            <w:tcBorders>
              <w:top w:val="single" w:sz="4" w:space="0" w:color="auto"/>
              <w:bottom w:val="nil"/>
            </w:tcBorders>
          </w:tcPr>
          <w:p w14:paraId="453FB975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101</w:t>
            </w:r>
          </w:p>
        </w:tc>
        <w:tc>
          <w:tcPr>
            <w:tcW w:w="1864" w:type="dxa"/>
            <w:tcBorders>
              <w:top w:val="single" w:sz="4" w:space="0" w:color="auto"/>
              <w:bottom w:val="nil"/>
            </w:tcBorders>
          </w:tcPr>
          <w:p w14:paraId="38BA9D7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1988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6A389209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57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1747440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1078</w:t>
            </w:r>
          </w:p>
        </w:tc>
        <w:tc>
          <w:tcPr>
            <w:tcW w:w="1955" w:type="dxa"/>
            <w:tcBorders>
              <w:top w:val="single" w:sz="4" w:space="0" w:color="auto"/>
              <w:bottom w:val="nil"/>
            </w:tcBorders>
          </w:tcPr>
          <w:p w14:paraId="2408A0F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4.84</w:t>
            </w:r>
          </w:p>
        </w:tc>
      </w:tr>
      <w:tr w:rsidR="00820B07" w:rsidRPr="00820B07" w14:paraId="78329A9F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nil"/>
            </w:tcBorders>
          </w:tcPr>
          <w:p w14:paraId="4FD01FC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5%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7E60DC80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14283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14:paraId="64F8235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107.4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14:paraId="1E6FCE58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2020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24BB95F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65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E133C3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1177</w:t>
            </w:r>
          </w:p>
        </w:tc>
        <w:tc>
          <w:tcPr>
            <w:tcW w:w="1955" w:type="dxa"/>
            <w:tcBorders>
              <w:top w:val="nil"/>
              <w:bottom w:val="nil"/>
            </w:tcBorders>
          </w:tcPr>
          <w:p w14:paraId="72F9E77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5.04</w:t>
            </w:r>
          </w:p>
        </w:tc>
      </w:tr>
      <w:tr w:rsidR="00820B07" w:rsidRPr="00820B07" w14:paraId="3E23D297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single" w:sz="4" w:space="0" w:color="auto"/>
            </w:tcBorders>
          </w:tcPr>
          <w:p w14:paraId="4862BB79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5%</w:t>
            </w:r>
          </w:p>
        </w:tc>
        <w:tc>
          <w:tcPr>
            <w:tcW w:w="1994" w:type="dxa"/>
            <w:tcBorders>
              <w:top w:val="nil"/>
              <w:bottom w:val="single" w:sz="4" w:space="0" w:color="auto"/>
            </w:tcBorders>
          </w:tcPr>
          <w:p w14:paraId="0EBEF89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13909</w:t>
            </w:r>
          </w:p>
        </w:tc>
        <w:tc>
          <w:tcPr>
            <w:tcW w:w="2067" w:type="dxa"/>
            <w:tcBorders>
              <w:top w:val="nil"/>
              <w:bottom w:val="single" w:sz="4" w:space="0" w:color="auto"/>
            </w:tcBorders>
          </w:tcPr>
          <w:p w14:paraId="4F534DFC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122.2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</w:tcPr>
          <w:p w14:paraId="49E39EE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1978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3C54D6E5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72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1DC4DF2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1121</w:t>
            </w:r>
          </w:p>
        </w:tc>
        <w:tc>
          <w:tcPr>
            <w:tcW w:w="1955" w:type="dxa"/>
            <w:tcBorders>
              <w:top w:val="nil"/>
              <w:bottom w:val="single" w:sz="4" w:space="0" w:color="auto"/>
            </w:tcBorders>
          </w:tcPr>
          <w:p w14:paraId="24B13AA7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5.82</w:t>
            </w:r>
          </w:p>
        </w:tc>
      </w:tr>
      <w:tr w:rsidR="00820B07" w:rsidRPr="00820B07" w14:paraId="2245D537" w14:textId="77777777" w:rsidTr="00A93BB7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nil"/>
            </w:tcBorders>
          </w:tcPr>
          <w:p w14:paraId="7F52ADF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1%</w:t>
            </w:r>
          </w:p>
        </w:tc>
        <w:tc>
          <w:tcPr>
            <w:tcW w:w="1994" w:type="dxa"/>
            <w:tcBorders>
              <w:top w:val="single" w:sz="4" w:space="0" w:color="auto"/>
              <w:bottom w:val="nil"/>
            </w:tcBorders>
          </w:tcPr>
          <w:p w14:paraId="21E9B98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13898</w:t>
            </w:r>
          </w:p>
        </w:tc>
        <w:tc>
          <w:tcPr>
            <w:tcW w:w="2067" w:type="dxa"/>
            <w:tcBorders>
              <w:top w:val="single" w:sz="4" w:space="0" w:color="auto"/>
              <w:bottom w:val="nil"/>
            </w:tcBorders>
          </w:tcPr>
          <w:p w14:paraId="1E7F11D7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28.8</w:t>
            </w:r>
          </w:p>
        </w:tc>
        <w:tc>
          <w:tcPr>
            <w:tcW w:w="1864" w:type="dxa"/>
            <w:tcBorders>
              <w:top w:val="single" w:sz="4" w:space="0" w:color="auto"/>
              <w:bottom w:val="nil"/>
            </w:tcBorders>
          </w:tcPr>
          <w:p w14:paraId="0BDC158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2120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1532031B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17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3AADE558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1195</w:t>
            </w:r>
          </w:p>
        </w:tc>
        <w:tc>
          <w:tcPr>
            <w:tcW w:w="1955" w:type="dxa"/>
            <w:tcBorders>
              <w:top w:val="single" w:sz="4" w:space="0" w:color="auto"/>
              <w:bottom w:val="nil"/>
            </w:tcBorders>
          </w:tcPr>
          <w:p w14:paraId="3C44463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1.34</w:t>
            </w:r>
          </w:p>
        </w:tc>
      </w:tr>
      <w:tr w:rsidR="00820B07" w:rsidRPr="00820B07" w14:paraId="28A13362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nil"/>
            </w:tcBorders>
          </w:tcPr>
          <w:p w14:paraId="6C116BC8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1%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7360B87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15121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14:paraId="60917AC8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17.12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14:paraId="4820247F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2220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424EDD0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7C3F79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1363</w:t>
            </w:r>
          </w:p>
        </w:tc>
        <w:tc>
          <w:tcPr>
            <w:tcW w:w="1955" w:type="dxa"/>
            <w:tcBorders>
              <w:top w:val="nil"/>
              <w:bottom w:val="nil"/>
            </w:tcBorders>
          </w:tcPr>
          <w:p w14:paraId="63FE2A1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0.77</w:t>
            </w:r>
          </w:p>
        </w:tc>
      </w:tr>
      <w:tr w:rsidR="00820B07" w:rsidRPr="00820B07" w14:paraId="4DBE42AF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single" w:sz="4" w:space="0" w:color="auto"/>
            </w:tcBorders>
          </w:tcPr>
          <w:p w14:paraId="4B3D029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1%</w:t>
            </w:r>
          </w:p>
        </w:tc>
        <w:tc>
          <w:tcPr>
            <w:tcW w:w="1994" w:type="dxa"/>
            <w:tcBorders>
              <w:top w:val="nil"/>
              <w:bottom w:val="single" w:sz="4" w:space="0" w:color="auto"/>
            </w:tcBorders>
          </w:tcPr>
          <w:p w14:paraId="7E98C8A5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14610</w:t>
            </w:r>
          </w:p>
        </w:tc>
        <w:tc>
          <w:tcPr>
            <w:tcW w:w="2067" w:type="dxa"/>
            <w:tcBorders>
              <w:top w:val="nil"/>
              <w:bottom w:val="single" w:sz="4" w:space="0" w:color="auto"/>
            </w:tcBorders>
          </w:tcPr>
          <w:p w14:paraId="46565CD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22.6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</w:tcPr>
          <w:p w14:paraId="7A33E04B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2260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33308EB0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14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68DED01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1338</w:t>
            </w:r>
          </w:p>
        </w:tc>
        <w:tc>
          <w:tcPr>
            <w:tcW w:w="1955" w:type="dxa"/>
            <w:tcBorders>
              <w:top w:val="nil"/>
              <w:bottom w:val="single" w:sz="4" w:space="0" w:color="auto"/>
            </w:tcBorders>
          </w:tcPr>
          <w:p w14:paraId="46E1567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0.99</w:t>
            </w:r>
          </w:p>
        </w:tc>
      </w:tr>
      <w:tr w:rsidR="00820B07" w:rsidRPr="00820B07" w14:paraId="0FB9FABC" w14:textId="77777777" w:rsidTr="00A93BB7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nil"/>
            </w:tcBorders>
          </w:tcPr>
          <w:p w14:paraId="1711034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0.5%</w:t>
            </w:r>
          </w:p>
        </w:tc>
        <w:tc>
          <w:tcPr>
            <w:tcW w:w="1994" w:type="dxa"/>
            <w:tcBorders>
              <w:top w:val="single" w:sz="4" w:space="0" w:color="auto"/>
              <w:bottom w:val="nil"/>
            </w:tcBorders>
          </w:tcPr>
          <w:p w14:paraId="02B85EA5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15357</w:t>
            </w:r>
          </w:p>
        </w:tc>
        <w:tc>
          <w:tcPr>
            <w:tcW w:w="2067" w:type="dxa"/>
            <w:tcBorders>
              <w:top w:val="single" w:sz="4" w:space="0" w:color="auto"/>
              <w:bottom w:val="nil"/>
            </w:tcBorders>
          </w:tcPr>
          <w:p w14:paraId="76137FDC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15.32</w:t>
            </w:r>
          </w:p>
        </w:tc>
        <w:tc>
          <w:tcPr>
            <w:tcW w:w="1864" w:type="dxa"/>
            <w:tcBorders>
              <w:top w:val="single" w:sz="4" w:space="0" w:color="auto"/>
              <w:bottom w:val="nil"/>
            </w:tcBorders>
          </w:tcPr>
          <w:p w14:paraId="651D034C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2400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25146C6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1B90681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1487</w:t>
            </w:r>
          </w:p>
        </w:tc>
        <w:tc>
          <w:tcPr>
            <w:tcW w:w="1955" w:type="dxa"/>
            <w:tcBorders>
              <w:top w:val="single" w:sz="4" w:space="0" w:color="auto"/>
              <w:bottom w:val="nil"/>
            </w:tcBorders>
          </w:tcPr>
          <w:p w14:paraId="0DF51F2F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0.64</w:t>
            </w:r>
          </w:p>
        </w:tc>
      </w:tr>
      <w:tr w:rsidR="00820B07" w:rsidRPr="00820B07" w14:paraId="482097C6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nil"/>
            </w:tcBorders>
          </w:tcPr>
          <w:p w14:paraId="6CD4BBA9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0.5%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38303988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10132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14:paraId="2D1BE90E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9.3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14:paraId="22C87EFA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2140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0BBFBD7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6B9115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878</w:t>
            </w:r>
          </w:p>
        </w:tc>
        <w:tc>
          <w:tcPr>
            <w:tcW w:w="1955" w:type="dxa"/>
            <w:tcBorders>
              <w:top w:val="nil"/>
              <w:bottom w:val="nil"/>
            </w:tcBorders>
          </w:tcPr>
          <w:p w14:paraId="44DC07B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0.43</w:t>
            </w:r>
          </w:p>
        </w:tc>
      </w:tr>
      <w:tr w:rsidR="00820B07" w:rsidRPr="00820B07" w14:paraId="181C3444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single" w:sz="4" w:space="0" w:color="auto"/>
            </w:tcBorders>
          </w:tcPr>
          <w:p w14:paraId="256B6BC9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0.5%</w:t>
            </w:r>
          </w:p>
        </w:tc>
        <w:tc>
          <w:tcPr>
            <w:tcW w:w="1994" w:type="dxa"/>
            <w:tcBorders>
              <w:top w:val="nil"/>
              <w:bottom w:val="single" w:sz="4" w:space="0" w:color="auto"/>
            </w:tcBorders>
          </w:tcPr>
          <w:p w14:paraId="2512C43B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12103</w:t>
            </w:r>
          </w:p>
        </w:tc>
        <w:tc>
          <w:tcPr>
            <w:tcW w:w="2067" w:type="dxa"/>
            <w:tcBorders>
              <w:top w:val="nil"/>
              <w:bottom w:val="single" w:sz="4" w:space="0" w:color="auto"/>
            </w:tcBorders>
          </w:tcPr>
          <w:p w14:paraId="5BFEC67A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9.72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</w:tcPr>
          <w:p w14:paraId="5811154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2300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22693DC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3A73A2A2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1131</w:t>
            </w:r>
          </w:p>
        </w:tc>
        <w:tc>
          <w:tcPr>
            <w:tcW w:w="1955" w:type="dxa"/>
            <w:tcBorders>
              <w:top w:val="nil"/>
              <w:bottom w:val="single" w:sz="4" w:space="0" w:color="auto"/>
            </w:tcBorders>
          </w:tcPr>
          <w:p w14:paraId="0132E23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0.42</w:t>
            </w:r>
          </w:p>
        </w:tc>
      </w:tr>
      <w:tr w:rsidR="00820B07" w:rsidRPr="00820B07" w14:paraId="381588AC" w14:textId="77777777" w:rsidTr="00A93BB7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nil"/>
            </w:tcBorders>
          </w:tcPr>
          <w:p w14:paraId="0D0DCC9B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0.25%</w:t>
            </w:r>
          </w:p>
        </w:tc>
        <w:tc>
          <w:tcPr>
            <w:tcW w:w="1994" w:type="dxa"/>
            <w:tcBorders>
              <w:top w:val="single" w:sz="4" w:space="0" w:color="auto"/>
              <w:bottom w:val="nil"/>
            </w:tcBorders>
          </w:tcPr>
          <w:p w14:paraId="656F024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12386</w:t>
            </w:r>
          </w:p>
        </w:tc>
        <w:tc>
          <w:tcPr>
            <w:tcW w:w="2067" w:type="dxa"/>
            <w:tcBorders>
              <w:top w:val="single" w:sz="4" w:space="0" w:color="auto"/>
              <w:bottom w:val="nil"/>
            </w:tcBorders>
          </w:tcPr>
          <w:p w14:paraId="6EB652B0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9.5</w:t>
            </w:r>
          </w:p>
        </w:tc>
        <w:tc>
          <w:tcPr>
            <w:tcW w:w="1864" w:type="dxa"/>
            <w:tcBorders>
              <w:top w:val="single" w:sz="4" w:space="0" w:color="auto"/>
              <w:bottom w:val="nil"/>
            </w:tcBorders>
          </w:tcPr>
          <w:p w14:paraId="638F0EA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2220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02318837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4143694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1117</w:t>
            </w:r>
          </w:p>
        </w:tc>
        <w:tc>
          <w:tcPr>
            <w:tcW w:w="1955" w:type="dxa"/>
            <w:tcBorders>
              <w:top w:val="single" w:sz="4" w:space="0" w:color="auto"/>
              <w:bottom w:val="nil"/>
            </w:tcBorders>
          </w:tcPr>
          <w:p w14:paraId="522A33E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0.42</w:t>
            </w:r>
          </w:p>
        </w:tc>
      </w:tr>
      <w:tr w:rsidR="00820B07" w:rsidRPr="00820B07" w14:paraId="565EFB0E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nil"/>
            </w:tcBorders>
          </w:tcPr>
          <w:p w14:paraId="2D28F5F8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0.25%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1770E98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10773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14:paraId="61BB05D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8.74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14:paraId="5EDB7B8B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2480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51F620F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00195C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1077</w:t>
            </w:r>
          </w:p>
        </w:tc>
        <w:tc>
          <w:tcPr>
            <w:tcW w:w="1955" w:type="dxa"/>
            <w:tcBorders>
              <w:top w:val="nil"/>
              <w:bottom w:val="nil"/>
            </w:tcBorders>
          </w:tcPr>
          <w:p w14:paraId="17DB628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0.35</w:t>
            </w:r>
          </w:p>
        </w:tc>
      </w:tr>
      <w:tr w:rsidR="00820B07" w:rsidRPr="00820B07" w14:paraId="1BFAE98D" w14:textId="77777777" w:rsidTr="00A93BB7">
        <w:trPr>
          <w:jc w:val="center"/>
        </w:trPr>
        <w:tc>
          <w:tcPr>
            <w:tcW w:w="1998" w:type="dxa"/>
            <w:tcBorders>
              <w:top w:val="nil"/>
              <w:bottom w:val="single" w:sz="4" w:space="0" w:color="auto"/>
            </w:tcBorders>
          </w:tcPr>
          <w:p w14:paraId="14D21C29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0.25%</w:t>
            </w:r>
          </w:p>
        </w:tc>
        <w:tc>
          <w:tcPr>
            <w:tcW w:w="1994" w:type="dxa"/>
            <w:tcBorders>
              <w:top w:val="nil"/>
              <w:bottom w:val="single" w:sz="4" w:space="0" w:color="auto"/>
            </w:tcBorders>
          </w:tcPr>
          <w:p w14:paraId="5B8EFCBA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14033</w:t>
            </w:r>
          </w:p>
        </w:tc>
        <w:tc>
          <w:tcPr>
            <w:tcW w:w="2067" w:type="dxa"/>
            <w:tcBorders>
              <w:top w:val="nil"/>
              <w:bottom w:val="single" w:sz="4" w:space="0" w:color="auto"/>
            </w:tcBorders>
          </w:tcPr>
          <w:p w14:paraId="17824F6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5.04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</w:tcPr>
          <w:p w14:paraId="7D2BED9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2260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194794C7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6A2349C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1283</w:t>
            </w:r>
          </w:p>
        </w:tc>
        <w:tc>
          <w:tcPr>
            <w:tcW w:w="1955" w:type="dxa"/>
            <w:tcBorders>
              <w:top w:val="nil"/>
              <w:bottom w:val="single" w:sz="4" w:space="0" w:color="auto"/>
            </w:tcBorders>
          </w:tcPr>
          <w:p w14:paraId="66D1DC3C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0.22</w:t>
            </w:r>
          </w:p>
        </w:tc>
      </w:tr>
      <w:tr w:rsidR="00820B07" w:rsidRPr="00820B07" w14:paraId="041A8BCB" w14:textId="77777777" w:rsidTr="00A93BB7">
        <w:trPr>
          <w:jc w:val="center"/>
        </w:trPr>
        <w:tc>
          <w:tcPr>
            <w:tcW w:w="1998" w:type="dxa"/>
            <w:tcBorders>
              <w:top w:val="single" w:sz="4" w:space="0" w:color="auto"/>
            </w:tcBorders>
          </w:tcPr>
          <w:p w14:paraId="03DE947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0.1%</w:t>
            </w:r>
          </w:p>
        </w:tc>
        <w:tc>
          <w:tcPr>
            <w:tcW w:w="1994" w:type="dxa"/>
            <w:tcBorders>
              <w:top w:val="single" w:sz="4" w:space="0" w:color="auto"/>
            </w:tcBorders>
          </w:tcPr>
          <w:p w14:paraId="0CF1CB89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10942</w:t>
            </w:r>
          </w:p>
        </w:tc>
        <w:tc>
          <w:tcPr>
            <w:tcW w:w="2067" w:type="dxa"/>
            <w:tcBorders>
              <w:top w:val="single" w:sz="4" w:space="0" w:color="auto"/>
            </w:tcBorders>
          </w:tcPr>
          <w:p w14:paraId="3319EC62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</w:t>
            </w:r>
          </w:p>
        </w:tc>
        <w:tc>
          <w:tcPr>
            <w:tcW w:w="1864" w:type="dxa"/>
            <w:tcBorders>
              <w:top w:val="single" w:sz="4" w:space="0" w:color="auto"/>
            </w:tcBorders>
          </w:tcPr>
          <w:p w14:paraId="048E4C7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2320</w:t>
            </w:r>
          </w:p>
        </w:tc>
        <w:tc>
          <w:tcPr>
            <w:tcW w:w="2041" w:type="dxa"/>
            <w:tcBorders>
              <w:top w:val="single" w:sz="4" w:space="0" w:color="auto"/>
            </w:tcBorders>
          </w:tcPr>
          <w:p w14:paraId="62190590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</w:tcBorders>
          </w:tcPr>
          <w:p w14:paraId="74F7615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1028</w:t>
            </w:r>
          </w:p>
        </w:tc>
        <w:tc>
          <w:tcPr>
            <w:tcW w:w="1955" w:type="dxa"/>
            <w:tcBorders>
              <w:top w:val="single" w:sz="4" w:space="0" w:color="auto"/>
            </w:tcBorders>
          </w:tcPr>
          <w:p w14:paraId="515D51DE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/</w:t>
            </w:r>
          </w:p>
        </w:tc>
      </w:tr>
      <w:tr w:rsidR="00820B07" w:rsidRPr="00820B07" w14:paraId="6B568D3A" w14:textId="77777777" w:rsidTr="00A93BB7">
        <w:trPr>
          <w:jc w:val="center"/>
        </w:trPr>
        <w:tc>
          <w:tcPr>
            <w:tcW w:w="1998" w:type="dxa"/>
          </w:tcPr>
          <w:p w14:paraId="09718B9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0.1%</w:t>
            </w:r>
          </w:p>
        </w:tc>
        <w:tc>
          <w:tcPr>
            <w:tcW w:w="1994" w:type="dxa"/>
          </w:tcPr>
          <w:p w14:paraId="64040294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14568</w:t>
            </w:r>
          </w:p>
        </w:tc>
        <w:tc>
          <w:tcPr>
            <w:tcW w:w="2067" w:type="dxa"/>
          </w:tcPr>
          <w:p w14:paraId="08E3DDDB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4.84</w:t>
            </w:r>
          </w:p>
        </w:tc>
        <w:tc>
          <w:tcPr>
            <w:tcW w:w="1864" w:type="dxa"/>
          </w:tcPr>
          <w:p w14:paraId="28C2D83A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2420</w:t>
            </w:r>
          </w:p>
        </w:tc>
        <w:tc>
          <w:tcPr>
            <w:tcW w:w="2041" w:type="dxa"/>
          </w:tcPr>
          <w:p w14:paraId="55EDEF5A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2041" w:type="dxa"/>
          </w:tcPr>
          <w:p w14:paraId="24043813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1426</w:t>
            </w:r>
          </w:p>
        </w:tc>
        <w:tc>
          <w:tcPr>
            <w:tcW w:w="1955" w:type="dxa"/>
          </w:tcPr>
          <w:p w14:paraId="50E7E55A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0.2</w:t>
            </w:r>
          </w:p>
        </w:tc>
      </w:tr>
      <w:tr w:rsidR="00820B07" w:rsidRPr="00820B07" w14:paraId="0FDCFF54" w14:textId="77777777" w:rsidTr="00A93BB7">
        <w:trPr>
          <w:jc w:val="center"/>
        </w:trPr>
        <w:tc>
          <w:tcPr>
            <w:tcW w:w="1998" w:type="dxa"/>
          </w:tcPr>
          <w:p w14:paraId="7274DA9C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0.1%</w:t>
            </w:r>
          </w:p>
        </w:tc>
        <w:tc>
          <w:tcPr>
            <w:tcW w:w="1994" w:type="dxa"/>
          </w:tcPr>
          <w:p w14:paraId="07F38C49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13595</w:t>
            </w:r>
          </w:p>
        </w:tc>
        <w:tc>
          <w:tcPr>
            <w:tcW w:w="2067" w:type="dxa"/>
          </w:tcPr>
          <w:p w14:paraId="2559788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3.46</w:t>
            </w:r>
          </w:p>
        </w:tc>
        <w:tc>
          <w:tcPr>
            <w:tcW w:w="1864" w:type="dxa"/>
          </w:tcPr>
          <w:p w14:paraId="7470B83D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2340</w:t>
            </w:r>
          </w:p>
        </w:tc>
        <w:tc>
          <w:tcPr>
            <w:tcW w:w="2041" w:type="dxa"/>
          </w:tcPr>
          <w:p w14:paraId="2358F206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041" w:type="dxa"/>
          </w:tcPr>
          <w:p w14:paraId="26499F61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1283</w:t>
            </w:r>
          </w:p>
        </w:tc>
        <w:tc>
          <w:tcPr>
            <w:tcW w:w="1955" w:type="dxa"/>
          </w:tcPr>
          <w:p w14:paraId="717425DA" w14:textId="77777777" w:rsidR="00820B07" w:rsidRPr="00820B07" w:rsidRDefault="00820B07" w:rsidP="00A93BB7">
            <w:pPr>
              <w:spacing w:line="360" w:lineRule="auto"/>
              <w:jc w:val="center"/>
              <w:outlineLvl w:val="0"/>
              <w:rPr>
                <w:color w:val="FF0000"/>
                <w:sz w:val="24"/>
                <w:szCs w:val="24"/>
              </w:rPr>
            </w:pPr>
            <w:r w:rsidRPr="00820B07">
              <w:rPr>
                <w:color w:val="FF0000"/>
                <w:sz w:val="24"/>
                <w:szCs w:val="24"/>
              </w:rPr>
              <w:t>0.15</w:t>
            </w:r>
          </w:p>
        </w:tc>
      </w:tr>
    </w:tbl>
    <w:p w14:paraId="2C3BF8FB" w14:textId="77777777" w:rsidR="00820B07" w:rsidRPr="00820B07" w:rsidRDefault="00820B07" w:rsidP="00820B07">
      <w:pPr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26864B3" w14:textId="13CB8942" w:rsidR="00820B07" w:rsidRDefault="00820B07" w:rsidP="00820B07">
      <w:pPr>
        <w:rPr>
          <w:bCs/>
        </w:rPr>
      </w:pPr>
      <w:r w:rsidRPr="00820B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Pr="00820B07">
        <w:rPr>
          <w:rFonts w:ascii="Times New Roman" w:hAnsi="Times New Roman" w:cs="Times New Roman"/>
          <w:color w:val="FF0000"/>
          <w:sz w:val="24"/>
          <w:szCs w:val="24"/>
        </w:rPr>
        <w:t xml:space="preserve">*Calculated droplet number using </w:t>
      </w:r>
      <w:proofErr w:type="spellStart"/>
      <w:r w:rsidRPr="00820B07">
        <w:rPr>
          <w:rFonts w:ascii="Times New Roman" w:hAnsi="Times New Roman" w:cs="Times New Roman"/>
          <w:color w:val="FF0000"/>
          <w:sz w:val="24"/>
          <w:szCs w:val="24"/>
        </w:rPr>
        <w:t>QuantaSoft</w:t>
      </w:r>
      <w:proofErr w:type="spellEnd"/>
      <w:r w:rsidRPr="00820B07">
        <w:rPr>
          <w:rFonts w:ascii="Times New Roman" w:hAnsi="Times New Roman" w:cs="Times New Roman"/>
          <w:color w:val="FF0000"/>
          <w:sz w:val="24"/>
          <w:szCs w:val="24"/>
        </w:rPr>
        <w:t xml:space="preserve">; MUT: mutant, WT: wild-type; ACD: accepted droplet; FA: fractional abundance </w:t>
      </w:r>
      <w:r w:rsidRPr="00267B33">
        <w:rPr>
          <w:color w:val="FF0000"/>
        </w:rPr>
        <w:br w:type="page"/>
      </w:r>
    </w:p>
    <w:p w14:paraId="56BD3A8F" w14:textId="77777777" w:rsidR="00143BAA" w:rsidRDefault="00143BAA" w:rsidP="00E9457F">
      <w:pPr>
        <w:spacing w:line="480" w:lineRule="auto"/>
        <w:jc w:val="both"/>
        <w:rPr>
          <w:bCs/>
        </w:rPr>
      </w:pPr>
    </w:p>
    <w:p w14:paraId="64BF992E" w14:textId="52C25098" w:rsidR="000D3623" w:rsidRDefault="0085573E" w:rsidP="00143BAA">
      <w:pPr>
        <w:spacing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039AC046" wp14:editId="7F02E688">
            <wp:extent cx="7704762" cy="47904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e-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762" cy="4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1349" w14:textId="7DB9430A" w:rsidR="000D3623" w:rsidRPr="0092113F" w:rsidRDefault="00D41B98" w:rsidP="0092113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92113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Figure</w:t>
      </w:r>
      <w:r w:rsidR="002A0E0B" w:rsidRPr="00921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e-1</w:t>
      </w:r>
      <w:r w:rsidR="00143BAA" w:rsidRPr="00921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06397D"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Imaging and molecular evaluation of Case 2 with definite leptomeningeal </w:t>
      </w:r>
      <w:proofErr w:type="spellStart"/>
      <w:r w:rsidR="0006397D"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>angiomatosis</w:t>
      </w:r>
      <w:proofErr w:type="spellEnd"/>
      <w:r w:rsidR="0006397D"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3B464DB6" w14:textId="61CC8829" w:rsidR="00D41B98" w:rsidRPr="0092113F" w:rsidRDefault="000D3623" w:rsidP="0092113F">
      <w:pPr>
        <w:spacing w:line="48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92113F">
        <w:rPr>
          <w:rFonts w:ascii="Times New Roman" w:hAnsi="Times New Roman" w:cs="Times New Roman"/>
          <w:b/>
          <w:color w:val="FF0000"/>
          <w:sz w:val="24"/>
          <w:szCs w:val="24"/>
          <w:lang w:val="en-AU"/>
        </w:rPr>
        <w:t xml:space="preserve">A  </w:t>
      </w:r>
      <w:r w:rsidR="00D41B98" w:rsidRPr="0092113F">
        <w:rPr>
          <w:rFonts w:ascii="Times New Roman" w:hAnsi="Times New Roman" w:cs="Times New Roman"/>
          <w:bCs/>
          <w:color w:val="FF0000"/>
          <w:sz w:val="24"/>
          <w:szCs w:val="24"/>
          <w:lang w:val="en-AU"/>
        </w:rPr>
        <w:t xml:space="preserve">Pre-contrast </w:t>
      </w:r>
      <w:r w:rsidR="00D41B98" w:rsidRPr="0092113F">
        <w:rPr>
          <w:rFonts w:ascii="Times New Roman" w:hAnsi="Times New Roman" w:cs="Times New Roman"/>
          <w:color w:val="FF0000"/>
          <w:sz w:val="24"/>
          <w:szCs w:val="24"/>
          <w:lang w:val="en-AU"/>
        </w:rPr>
        <w:t>T1-weighted axial MRI</w:t>
      </w:r>
      <w:r w:rsidR="00D41B98" w:rsidRPr="0092113F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scan showing</w:t>
      </w:r>
      <w:r w:rsidRPr="0092113F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left cerebral </w:t>
      </w:r>
      <w:r w:rsidRPr="0092113F">
        <w:rPr>
          <w:rFonts w:ascii="Times New Roman" w:hAnsi="Times New Roman" w:cs="Times New Roman"/>
          <w:color w:val="FF0000"/>
          <w:sz w:val="24"/>
          <w:szCs w:val="24"/>
          <w:lang w:val="en-AU"/>
        </w:rPr>
        <w:t>atrophy, most prominent in the posterior cortex</w:t>
      </w:r>
      <w:r w:rsidRPr="0092113F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  </w:t>
      </w:r>
      <w:r w:rsidR="00D41B98"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Identification of the wildtype </w:t>
      </w:r>
      <w:r w:rsidR="00D41B98"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>GNAQ</w:t>
      </w:r>
      <w:r w:rsidR="00D41B98"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allele in green (present in brain and blood) and mutant </w:t>
      </w:r>
      <w:r w:rsidR="00D41B98"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>GNAQ</w:t>
      </w:r>
      <w:r w:rsidR="00D41B98"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R183Q allele (in blue) in brain-but not blood-derived DNA. Droplets without DNA template are grey. Y-axis, amplitude of fluorescent signal. WT, wildtype </w:t>
      </w:r>
      <w:r w:rsidR="00D41B98"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 xml:space="preserve">GNAQ </w:t>
      </w:r>
      <w:r w:rsidR="00D41B98"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probe. MUT, mutant </w:t>
      </w:r>
      <w:r w:rsidR="00D41B98"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 xml:space="preserve">GNAQ </w:t>
      </w:r>
      <w:r w:rsidR="00D41B98"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>R183Q probe.</w:t>
      </w:r>
    </w:p>
    <w:p w14:paraId="206D8FBC" w14:textId="77777777" w:rsidR="000F4026" w:rsidRDefault="000F4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C5B7B2" w14:textId="77777777" w:rsidR="00F53C73" w:rsidRDefault="00F53C73" w:rsidP="00820B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5C909BA" wp14:editId="0BD2C77D">
            <wp:extent cx="8863330" cy="37630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e-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05A7" w14:textId="097D90EA" w:rsidR="00820B07" w:rsidRPr="00F53C73" w:rsidRDefault="00F53C73" w:rsidP="00F53C73">
      <w:pPr>
        <w:spacing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53C73">
        <w:rPr>
          <w:rFonts w:ascii="Times New Roman" w:hAnsi="Times New Roman" w:cs="Times New Roman"/>
          <w:b/>
          <w:color w:val="FF0000"/>
          <w:sz w:val="24"/>
          <w:szCs w:val="24"/>
        </w:rPr>
        <w:t>F</w:t>
      </w:r>
      <w:r w:rsidR="00820B07" w:rsidRPr="00F53C7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e-2</w:t>
      </w:r>
      <w:r w:rsidR="00820B07" w:rsidRPr="00F53C7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Limit of detection for </w:t>
      </w:r>
      <w:proofErr w:type="spellStart"/>
      <w:r w:rsidR="00820B07" w:rsidRPr="00F53C73">
        <w:rPr>
          <w:rFonts w:ascii="Times New Roman" w:hAnsi="Times New Roman" w:cs="Times New Roman"/>
          <w:b/>
          <w:bCs/>
          <w:color w:val="FF0000"/>
          <w:sz w:val="24"/>
          <w:szCs w:val="24"/>
        </w:rPr>
        <w:t>ddPCR</w:t>
      </w:r>
      <w:proofErr w:type="spellEnd"/>
      <w:r w:rsidR="00820B07" w:rsidRPr="00F53C7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assay</w:t>
      </w:r>
    </w:p>
    <w:p w14:paraId="10A2F5EE" w14:textId="0DC7F5FB" w:rsidR="0006397D" w:rsidRPr="00F53C73" w:rsidRDefault="00820B07" w:rsidP="00F53C73">
      <w:pPr>
        <w:spacing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3C73">
        <w:rPr>
          <w:rFonts w:ascii="Times New Roman" w:hAnsi="Times New Roman" w:cs="Times New Roman"/>
          <w:color w:val="FF0000"/>
          <w:sz w:val="24"/>
          <w:szCs w:val="24"/>
        </w:rPr>
        <w:t xml:space="preserve">Limit of detection of the </w:t>
      </w:r>
      <w:proofErr w:type="spellStart"/>
      <w:r w:rsidRPr="00F53C73">
        <w:rPr>
          <w:rFonts w:ascii="Times New Roman" w:hAnsi="Times New Roman" w:cs="Times New Roman"/>
          <w:color w:val="FF0000"/>
          <w:sz w:val="24"/>
          <w:szCs w:val="24"/>
        </w:rPr>
        <w:t>ddPCR</w:t>
      </w:r>
      <w:proofErr w:type="spellEnd"/>
      <w:r w:rsidRPr="00F53C73">
        <w:rPr>
          <w:rFonts w:ascii="Times New Roman" w:hAnsi="Times New Roman" w:cs="Times New Roman"/>
          <w:color w:val="FF0000"/>
          <w:sz w:val="24"/>
          <w:szCs w:val="24"/>
        </w:rPr>
        <w:t xml:space="preserve"> assay was established by serially diluting mutant samples into wild-type DNA in order to obtain different mutant</w:t>
      </w:r>
      <w:proofErr w:type="gramStart"/>
      <w:r w:rsidRPr="00F53C73">
        <w:rPr>
          <w:rFonts w:ascii="Times New Roman" w:hAnsi="Times New Roman" w:cs="Times New Roman"/>
          <w:color w:val="FF0000"/>
          <w:sz w:val="24"/>
          <w:szCs w:val="24"/>
        </w:rPr>
        <w:t>/(</w:t>
      </w:r>
      <w:proofErr w:type="gramEnd"/>
      <w:r w:rsidRPr="00F53C73">
        <w:rPr>
          <w:rFonts w:ascii="Times New Roman" w:hAnsi="Times New Roman" w:cs="Times New Roman"/>
          <w:color w:val="FF0000"/>
          <w:sz w:val="24"/>
          <w:szCs w:val="24"/>
        </w:rPr>
        <w:t xml:space="preserve">mutant + wild-type) ratios: 5, 1, 0.5, 0.25 and 0.1%. An amplitude of 4000 was set as the positive mutant droplets threshold. </w:t>
      </w:r>
      <w:r w:rsidRPr="00F53C73">
        <w:rPr>
          <w:rFonts w:ascii="Times New Roman" w:hAnsi="Times New Roman" w:cs="Times New Roman"/>
          <w:color w:val="FF0000"/>
          <w:sz w:val="24"/>
          <w:szCs w:val="24"/>
          <w:lang w:val="en-CA"/>
        </w:rPr>
        <w:t>Mutant allele at a frequency ≥ 0.25% could be consistently detected, while detection of mutant allele at 0.1% could be achieved in only 2 of 3 wells.</w:t>
      </w:r>
    </w:p>
    <w:p w14:paraId="6F615377" w14:textId="62DB98B0" w:rsidR="0067598B" w:rsidRPr="0092113F" w:rsidRDefault="0085573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inline distT="0" distB="0" distL="0" distR="0" wp14:anchorId="1D7D8D47" wp14:editId="717A03A8">
            <wp:extent cx="8863330" cy="42856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e-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98B" w:rsidRPr="0092113F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14:paraId="3CCFF2A2" w14:textId="1869E7CD" w:rsidR="0006397D" w:rsidRPr="0092113F" w:rsidRDefault="0067598B" w:rsidP="0006397D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2113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Figure</w:t>
      </w:r>
      <w:r w:rsidR="00D41B98" w:rsidRPr="00921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e-</w:t>
      </w:r>
      <w:r w:rsidR="000F4026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AB039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D41B98" w:rsidRPr="00921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129A1"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>M</w:t>
      </w:r>
      <w:r w:rsidR="0006397D"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olecular evaluation of Case 4 with definite leptomeningeal </w:t>
      </w:r>
      <w:proofErr w:type="spellStart"/>
      <w:r w:rsidR="0006397D"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>angiomatosis</w:t>
      </w:r>
      <w:proofErr w:type="spellEnd"/>
      <w:r w:rsidR="0006397D" w:rsidRPr="0092113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129EEF83" w14:textId="1B2F6000" w:rsidR="00043215" w:rsidRDefault="00D41B98" w:rsidP="0085573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Identification of the wildtype </w:t>
      </w:r>
      <w:r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>GNAQ</w:t>
      </w:r>
      <w:r w:rsidR="0006397D"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allele in green (present in brain and blood),</w:t>
      </w:r>
      <w:r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and mutant </w:t>
      </w:r>
      <w:r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>GNAQ</w:t>
      </w:r>
      <w:r w:rsidR="0006397D"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R183Q allele in blue</w:t>
      </w:r>
      <w:r w:rsidR="00AB039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in brain but not blood </w:t>
      </w:r>
      <w:r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derived DNA. Droplets without DNA template are grey. Y-axis, amplitude of fluorescent signal. WT, wildtype </w:t>
      </w:r>
      <w:r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 xml:space="preserve">GNAQ </w:t>
      </w:r>
      <w:r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probe. MUT, mutant </w:t>
      </w:r>
      <w:r w:rsidRPr="0092113F">
        <w:rPr>
          <w:rFonts w:ascii="Times New Roman" w:hAnsi="Times New Roman" w:cs="Times New Roman"/>
          <w:bCs/>
          <w:i/>
          <w:color w:val="FF0000"/>
          <w:sz w:val="24"/>
          <w:szCs w:val="24"/>
        </w:rPr>
        <w:t xml:space="preserve">GNAQ </w:t>
      </w:r>
      <w:r w:rsidRPr="0092113F">
        <w:rPr>
          <w:rFonts w:ascii="Times New Roman" w:hAnsi="Times New Roman" w:cs="Times New Roman"/>
          <w:bCs/>
          <w:color w:val="FF0000"/>
          <w:sz w:val="24"/>
          <w:szCs w:val="24"/>
        </w:rPr>
        <w:t>R183Q probe.</w:t>
      </w:r>
      <w:r w:rsidR="008557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3215">
        <w:rPr>
          <w:rFonts w:ascii="Times New Roman" w:hAnsi="Times New Roman" w:cs="Times New Roman"/>
          <w:b/>
          <w:sz w:val="28"/>
          <w:szCs w:val="28"/>
        </w:rPr>
        <w:br w:type="page"/>
      </w:r>
      <w:r w:rsidR="0085573E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lastRenderedPageBreak/>
        <w:drawing>
          <wp:inline distT="0" distB="0" distL="0" distR="0" wp14:anchorId="5CA1E287" wp14:editId="256FF7A8">
            <wp:extent cx="8535035" cy="5731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e-3A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0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8203" w14:textId="0D92D484" w:rsidR="00043215" w:rsidRDefault="008557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 wp14:anchorId="068289C2" wp14:editId="7A7FE663">
            <wp:extent cx="8863330" cy="5145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e-3B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8E30" w14:textId="77777777" w:rsidR="0085573E" w:rsidRDefault="0085573E" w:rsidP="002A0E0B">
      <w:pPr>
        <w:spacing w:line="48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1D862D3" w14:textId="1698865E" w:rsidR="002A0E0B" w:rsidRPr="00043215" w:rsidRDefault="000F4026" w:rsidP="002A0E0B">
      <w:pPr>
        <w:spacing w:line="480" w:lineRule="auto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Figure e-4</w:t>
      </w:r>
      <w:r w:rsidR="002A0E0B" w:rsidRPr="00043215">
        <w:rPr>
          <w:rFonts w:ascii="Times New Roman" w:hAnsi="Times New Roman" w:cs="Times New Roman"/>
          <w:b/>
          <w:color w:val="FF0000"/>
          <w:sz w:val="24"/>
          <w:szCs w:val="24"/>
        </w:rPr>
        <w:t>. Droplet Digital PCR of Case 1 – 2D plot for Brain</w:t>
      </w:r>
      <w:r w:rsidR="000432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and Blood</w:t>
      </w:r>
      <w:r w:rsidR="002A0E0B" w:rsidRPr="000432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25541D0F" w14:textId="7B504D56" w:rsidR="002A0E0B" w:rsidRPr="00043215" w:rsidRDefault="002A0E0B" w:rsidP="002A0E0B">
      <w:pPr>
        <w:spacing w:line="480" w:lineRule="auto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3215">
        <w:rPr>
          <w:rFonts w:ascii="Times New Roman" w:hAnsi="Times New Roman" w:cs="Times New Roman"/>
          <w:color w:val="FF0000"/>
          <w:sz w:val="24"/>
          <w:szCs w:val="24"/>
        </w:rPr>
        <w:t>Droplet digital PCR read-out in 2D plot showing results for brain (</w:t>
      </w:r>
      <w:r w:rsidRPr="00043215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>) and blood (</w:t>
      </w:r>
      <w:r w:rsidRPr="00043215">
        <w:rPr>
          <w:rFonts w:ascii="Times New Roman" w:hAnsi="Times New Roman" w:cs="Times New Roman"/>
          <w:b/>
          <w:color w:val="FF0000"/>
          <w:sz w:val="24"/>
          <w:szCs w:val="24"/>
        </w:rPr>
        <w:t>B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) derived DNA. Droplets positive for </w:t>
      </w:r>
      <w:r w:rsidRPr="00043215">
        <w:rPr>
          <w:rFonts w:ascii="Times New Roman" w:hAnsi="Times New Roman" w:cs="Times New Roman"/>
          <w:i/>
          <w:color w:val="FF0000"/>
          <w:sz w:val="24"/>
          <w:szCs w:val="24"/>
        </w:rPr>
        <w:t>GNAQ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R183Q allele are blue (in brain only), droplets positive for wild-type probe are green, droplets without DNA template grey, and droplets containing multiple DNA templates orange. </w:t>
      </w:r>
      <w:r w:rsidR="00AB0396">
        <w:rPr>
          <w:rFonts w:ascii="Times New Roman" w:hAnsi="Times New Roman" w:cs="Times New Roman"/>
          <w:bCs/>
          <w:color w:val="FF0000"/>
          <w:sz w:val="24"/>
          <w:szCs w:val="24"/>
        </w:rPr>
        <w:t>Axes,</w:t>
      </w:r>
      <w:r w:rsidRPr="0004321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amplitude of fluorescent signal.</w:t>
      </w:r>
      <w:r w:rsidRPr="00043215">
        <w:rPr>
          <w:bCs/>
          <w:color w:val="FF0000"/>
        </w:rPr>
        <w:t xml:space="preserve"> </w:t>
      </w:r>
    </w:p>
    <w:p w14:paraId="26EB8B36" w14:textId="77777777" w:rsidR="002A0E0B" w:rsidRDefault="002A0E0B" w:rsidP="002A0E0B">
      <w:pPr>
        <w:spacing w:line="480" w:lineRule="auto"/>
        <w:jc w:val="both"/>
        <w:rPr>
          <w:bCs/>
        </w:rPr>
      </w:pPr>
    </w:p>
    <w:p w14:paraId="35486A63" w14:textId="77777777" w:rsidR="002A0E0B" w:rsidRDefault="002A0E0B" w:rsidP="002A0E0B">
      <w:pPr>
        <w:spacing w:line="480" w:lineRule="auto"/>
        <w:jc w:val="both"/>
        <w:rPr>
          <w:bCs/>
        </w:rPr>
      </w:pPr>
    </w:p>
    <w:p w14:paraId="362634A7" w14:textId="77777777" w:rsidR="002A0E0B" w:rsidRDefault="002A0E0B" w:rsidP="002A0E0B">
      <w:pPr>
        <w:spacing w:line="480" w:lineRule="auto"/>
        <w:jc w:val="both"/>
        <w:rPr>
          <w:bCs/>
        </w:rPr>
      </w:pPr>
    </w:p>
    <w:p w14:paraId="72BEB897" w14:textId="77777777" w:rsidR="002A0E0B" w:rsidRDefault="002A0E0B" w:rsidP="002A0E0B">
      <w:pPr>
        <w:spacing w:line="480" w:lineRule="auto"/>
        <w:jc w:val="both"/>
        <w:rPr>
          <w:bCs/>
        </w:rPr>
      </w:pPr>
    </w:p>
    <w:p w14:paraId="769A221E" w14:textId="21CAE012" w:rsidR="00606B28" w:rsidRDefault="00606B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F02CE67" w14:textId="77F53880" w:rsidR="00606B28" w:rsidRDefault="008557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15858728" wp14:editId="0B71C83A">
            <wp:extent cx="8863330" cy="3603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e-4A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B28"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57D79F3" wp14:editId="3D909E34">
            <wp:extent cx="8863330" cy="3678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e-4B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0AC2" w14:textId="77777777" w:rsidR="00606B28" w:rsidRDefault="00606B28">
      <w:pPr>
        <w:rPr>
          <w:rFonts w:ascii="Times New Roman" w:hAnsi="Times New Roman" w:cs="Times New Roman"/>
          <w:b/>
          <w:sz w:val="24"/>
          <w:szCs w:val="24"/>
        </w:rPr>
      </w:pPr>
    </w:p>
    <w:p w14:paraId="52A31021" w14:textId="42958D94" w:rsidR="00606B28" w:rsidRPr="0092113F" w:rsidRDefault="000F4026" w:rsidP="00606B28">
      <w:pPr>
        <w:spacing w:line="480" w:lineRule="auto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Figure e-5</w:t>
      </w:r>
      <w:r w:rsidR="00606B28">
        <w:rPr>
          <w:rFonts w:ascii="Times New Roman" w:hAnsi="Times New Roman" w:cs="Times New Roman"/>
          <w:b/>
          <w:color w:val="FF0000"/>
          <w:sz w:val="24"/>
          <w:szCs w:val="24"/>
        </w:rPr>
        <w:t>. Droplet Digital PCR of Case 2</w:t>
      </w:r>
      <w:r w:rsidR="00606B28" w:rsidRPr="00921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2D plot for Brain and Blood </w:t>
      </w:r>
    </w:p>
    <w:p w14:paraId="54AEA112" w14:textId="4FFEE856" w:rsidR="00606B28" w:rsidRPr="00043215" w:rsidRDefault="00606B28" w:rsidP="00606B28">
      <w:pPr>
        <w:spacing w:line="480" w:lineRule="auto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3215">
        <w:rPr>
          <w:rFonts w:ascii="Times New Roman" w:hAnsi="Times New Roman" w:cs="Times New Roman"/>
          <w:color w:val="FF0000"/>
          <w:sz w:val="24"/>
          <w:szCs w:val="24"/>
        </w:rPr>
        <w:t>Droplet digital PCR read-out in 2D plot showing results for brain (</w:t>
      </w:r>
      <w:r w:rsidRPr="00043215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>) and blood (</w:t>
      </w:r>
      <w:r w:rsidRPr="00043215">
        <w:rPr>
          <w:rFonts w:ascii="Times New Roman" w:hAnsi="Times New Roman" w:cs="Times New Roman"/>
          <w:b/>
          <w:color w:val="FF0000"/>
          <w:sz w:val="24"/>
          <w:szCs w:val="24"/>
        </w:rPr>
        <w:t>B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>) derived DNA</w:t>
      </w:r>
      <w:r w:rsidR="00043215" w:rsidRPr="0004321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Droplets positive for </w:t>
      </w:r>
      <w:r w:rsidRPr="00043215">
        <w:rPr>
          <w:rFonts w:ascii="Times New Roman" w:hAnsi="Times New Roman" w:cs="Times New Roman"/>
          <w:i/>
          <w:color w:val="FF0000"/>
          <w:sz w:val="24"/>
          <w:szCs w:val="24"/>
        </w:rPr>
        <w:t>GNAQ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R183Q allele are blue (in brain only), droplets positive for wild-type probe are green, droplets without DNA template grey, and droplets containing multiple DNA templates orange. </w:t>
      </w:r>
      <w:r w:rsidR="00AB0396">
        <w:rPr>
          <w:rFonts w:ascii="Times New Roman" w:hAnsi="Times New Roman" w:cs="Times New Roman"/>
          <w:bCs/>
          <w:color w:val="FF0000"/>
          <w:sz w:val="24"/>
          <w:szCs w:val="24"/>
        </w:rPr>
        <w:t>Axe</w:t>
      </w:r>
      <w:r w:rsidRPr="00043215">
        <w:rPr>
          <w:rFonts w:ascii="Times New Roman" w:hAnsi="Times New Roman" w:cs="Times New Roman"/>
          <w:bCs/>
          <w:color w:val="FF0000"/>
          <w:sz w:val="24"/>
          <w:szCs w:val="24"/>
        </w:rPr>
        <w:t>s, amplitude of fluorescent signal.</w:t>
      </w:r>
      <w:r w:rsidRPr="00043215">
        <w:rPr>
          <w:bCs/>
          <w:color w:val="FF0000"/>
        </w:rPr>
        <w:t xml:space="preserve"> </w:t>
      </w:r>
    </w:p>
    <w:p w14:paraId="2AFD4DEC" w14:textId="54444274" w:rsidR="00606B28" w:rsidRPr="00043215" w:rsidRDefault="00606B2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3215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  <w:r w:rsidR="0085573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inline distT="0" distB="0" distL="0" distR="0" wp14:anchorId="59B633A8" wp14:editId="2534492E">
            <wp:extent cx="8863330" cy="36506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e-5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1F62" w14:textId="77777777" w:rsidR="0085573E" w:rsidRDefault="0085573E" w:rsidP="0085573E">
      <w:pPr>
        <w:rPr>
          <w:rFonts w:ascii="Times New Roman" w:hAnsi="Times New Roman" w:cs="Times New Roman"/>
          <w:b/>
          <w:sz w:val="24"/>
          <w:szCs w:val="24"/>
        </w:rPr>
      </w:pPr>
    </w:p>
    <w:p w14:paraId="2856C5BC" w14:textId="34F07B17" w:rsidR="00606B28" w:rsidRPr="0085573E" w:rsidRDefault="000F4026" w:rsidP="008557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Figure e-6</w:t>
      </w:r>
      <w:r w:rsidR="00606B28">
        <w:rPr>
          <w:rFonts w:ascii="Times New Roman" w:hAnsi="Times New Roman" w:cs="Times New Roman"/>
          <w:b/>
          <w:color w:val="FF0000"/>
          <w:sz w:val="24"/>
          <w:szCs w:val="24"/>
        </w:rPr>
        <w:t>. Droplet Digital PCR of Case 3</w:t>
      </w:r>
      <w:r w:rsidR="00606B28" w:rsidRPr="00921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2D plot for Brain </w:t>
      </w:r>
    </w:p>
    <w:p w14:paraId="23EC78F1" w14:textId="671C368A" w:rsidR="00606B28" w:rsidRPr="00043215" w:rsidRDefault="00606B28" w:rsidP="00606B28">
      <w:pPr>
        <w:spacing w:line="480" w:lineRule="auto"/>
        <w:jc w:val="both"/>
        <w:outlineLvl w:val="0"/>
        <w:rPr>
          <w:bCs/>
          <w:color w:val="FF0000"/>
        </w:rPr>
      </w:pPr>
      <w:r w:rsidRPr="00043215">
        <w:rPr>
          <w:rFonts w:ascii="Times New Roman" w:hAnsi="Times New Roman" w:cs="Times New Roman"/>
          <w:color w:val="FF0000"/>
          <w:sz w:val="24"/>
          <w:szCs w:val="24"/>
        </w:rPr>
        <w:t>Droplet digital PCR read-out in 2D plot showing results for brai</w:t>
      </w:r>
      <w:r w:rsidR="00043215">
        <w:rPr>
          <w:rFonts w:ascii="Times New Roman" w:hAnsi="Times New Roman" w:cs="Times New Roman"/>
          <w:color w:val="FF0000"/>
          <w:sz w:val="24"/>
          <w:szCs w:val="24"/>
        </w:rPr>
        <w:t xml:space="preserve">n 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>derived DNA</w:t>
      </w:r>
      <w:r w:rsidR="0004321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Droplets positive for </w:t>
      </w:r>
      <w:r w:rsidRPr="00043215">
        <w:rPr>
          <w:rFonts w:ascii="Times New Roman" w:hAnsi="Times New Roman" w:cs="Times New Roman"/>
          <w:i/>
          <w:color w:val="FF0000"/>
          <w:sz w:val="24"/>
          <w:szCs w:val="24"/>
        </w:rPr>
        <w:t>GNAQ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R183Q allele are blue, droplets positive for wild-type probe are green, </w:t>
      </w:r>
      <w:r w:rsidR="00AB0396">
        <w:rPr>
          <w:rFonts w:ascii="Times New Roman" w:hAnsi="Times New Roman" w:cs="Times New Roman"/>
          <w:color w:val="FF0000"/>
          <w:sz w:val="24"/>
          <w:szCs w:val="24"/>
        </w:rPr>
        <w:t xml:space="preserve">and 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>droplets without DNA template grey</w:t>
      </w:r>
      <w:r w:rsidR="00AB039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AB0396">
        <w:rPr>
          <w:rFonts w:ascii="Times New Roman" w:hAnsi="Times New Roman" w:cs="Times New Roman"/>
          <w:bCs/>
          <w:color w:val="FF0000"/>
          <w:sz w:val="24"/>
          <w:szCs w:val="24"/>
        </w:rPr>
        <w:t>Axe</w:t>
      </w:r>
      <w:r w:rsidRPr="00043215">
        <w:rPr>
          <w:rFonts w:ascii="Times New Roman" w:hAnsi="Times New Roman" w:cs="Times New Roman"/>
          <w:bCs/>
          <w:color w:val="FF0000"/>
          <w:sz w:val="24"/>
          <w:szCs w:val="24"/>
        </w:rPr>
        <w:t>s, amplitude of fluorescent signal.</w:t>
      </w:r>
      <w:r w:rsidRPr="00043215">
        <w:rPr>
          <w:bCs/>
          <w:color w:val="FF0000"/>
        </w:rPr>
        <w:t xml:space="preserve"> </w:t>
      </w:r>
    </w:p>
    <w:p w14:paraId="103EBC7F" w14:textId="77777777" w:rsidR="00606B28" w:rsidRPr="00043215" w:rsidRDefault="00606B28">
      <w:pPr>
        <w:rPr>
          <w:bCs/>
          <w:color w:val="FF0000"/>
        </w:rPr>
      </w:pPr>
      <w:r w:rsidRPr="00043215">
        <w:rPr>
          <w:bCs/>
          <w:color w:val="FF0000"/>
        </w:rPr>
        <w:br w:type="page"/>
      </w:r>
    </w:p>
    <w:p w14:paraId="018F19CF" w14:textId="31C4EDAD" w:rsidR="00606B28" w:rsidRDefault="008557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86CE898" wp14:editId="5DEB4B79">
            <wp:extent cx="8863330" cy="37674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e-6A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9819B26" wp14:editId="33EA727C">
            <wp:extent cx="8863330" cy="36753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e-6B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CE2C" w14:textId="77777777" w:rsidR="00606B28" w:rsidRDefault="00606B28" w:rsidP="00606B28">
      <w:pPr>
        <w:rPr>
          <w:rFonts w:ascii="Times New Roman" w:hAnsi="Times New Roman" w:cs="Times New Roman"/>
          <w:b/>
          <w:sz w:val="24"/>
          <w:szCs w:val="24"/>
        </w:rPr>
      </w:pPr>
    </w:p>
    <w:p w14:paraId="53803457" w14:textId="0DAB8923" w:rsidR="00606B28" w:rsidRPr="0092113F" w:rsidRDefault="000F4026" w:rsidP="00606B28">
      <w:pPr>
        <w:spacing w:line="480" w:lineRule="auto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Figure e-7</w:t>
      </w:r>
      <w:r w:rsidR="00606B28">
        <w:rPr>
          <w:rFonts w:ascii="Times New Roman" w:hAnsi="Times New Roman" w:cs="Times New Roman"/>
          <w:b/>
          <w:color w:val="FF0000"/>
          <w:sz w:val="24"/>
          <w:szCs w:val="24"/>
        </w:rPr>
        <w:t>. Droplet Digital PCR of Case 4</w:t>
      </w:r>
      <w:r w:rsidR="00606B28" w:rsidRPr="00921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2D plot for Brain and Blood </w:t>
      </w:r>
    </w:p>
    <w:p w14:paraId="35DEA571" w14:textId="064777A1" w:rsidR="004F5B53" w:rsidRPr="004F5B53" w:rsidRDefault="00606B28" w:rsidP="00AB0396">
      <w:pPr>
        <w:spacing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43215">
        <w:rPr>
          <w:rFonts w:ascii="Times New Roman" w:hAnsi="Times New Roman" w:cs="Times New Roman"/>
          <w:color w:val="FF0000"/>
          <w:sz w:val="24"/>
          <w:szCs w:val="24"/>
        </w:rPr>
        <w:t>Droplet digital PCR read-out in 2D plot showing results for brain (</w:t>
      </w:r>
      <w:r w:rsidRPr="00043215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>) and blood (</w:t>
      </w:r>
      <w:r w:rsidRPr="00043215">
        <w:rPr>
          <w:rFonts w:ascii="Times New Roman" w:hAnsi="Times New Roman" w:cs="Times New Roman"/>
          <w:b/>
          <w:color w:val="FF0000"/>
          <w:sz w:val="24"/>
          <w:szCs w:val="24"/>
        </w:rPr>
        <w:t>B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>) derived DNA</w:t>
      </w:r>
      <w:r w:rsidR="0004321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Droplets positive for </w:t>
      </w:r>
      <w:r w:rsidRPr="00043215">
        <w:rPr>
          <w:rFonts w:ascii="Times New Roman" w:hAnsi="Times New Roman" w:cs="Times New Roman"/>
          <w:i/>
          <w:color w:val="FF0000"/>
          <w:sz w:val="24"/>
          <w:szCs w:val="24"/>
        </w:rPr>
        <w:t>GNAQ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R183Q allele are blue (in brain only), droplets positive for wild-type probe are green,</w:t>
      </w:r>
      <w:r w:rsidR="00AB0396">
        <w:rPr>
          <w:rFonts w:ascii="Times New Roman" w:hAnsi="Times New Roman" w:cs="Times New Roman"/>
          <w:color w:val="FF0000"/>
          <w:sz w:val="24"/>
          <w:szCs w:val="24"/>
        </w:rPr>
        <w:t xml:space="preserve"> and</w:t>
      </w:r>
      <w:r w:rsidRPr="00043215">
        <w:rPr>
          <w:rFonts w:ascii="Times New Roman" w:hAnsi="Times New Roman" w:cs="Times New Roman"/>
          <w:color w:val="FF0000"/>
          <w:sz w:val="24"/>
          <w:szCs w:val="24"/>
        </w:rPr>
        <w:t xml:space="preserve"> droplets without DNA template grey. </w:t>
      </w:r>
      <w:r w:rsidR="00AB0396">
        <w:rPr>
          <w:rFonts w:ascii="Times New Roman" w:hAnsi="Times New Roman" w:cs="Times New Roman"/>
          <w:bCs/>
          <w:color w:val="FF0000"/>
          <w:sz w:val="24"/>
          <w:szCs w:val="24"/>
        </w:rPr>
        <w:t>Axes</w:t>
      </w:r>
      <w:r w:rsidRPr="00043215">
        <w:rPr>
          <w:rFonts w:ascii="Times New Roman" w:hAnsi="Times New Roman" w:cs="Times New Roman"/>
          <w:bCs/>
          <w:color w:val="FF0000"/>
          <w:sz w:val="24"/>
          <w:szCs w:val="24"/>
        </w:rPr>
        <w:t>, amplitude of fluorescent signal.</w:t>
      </w:r>
    </w:p>
    <w:sectPr w:rsidR="004F5B53" w:rsidRPr="004F5B53" w:rsidSect="00B67C7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Neur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r5dfpd5xpw5d2e5rx9xdexjtpzf5fdt22xf&quot;&gt;Copy of LitRev-Converted&lt;record-ids&gt;&lt;item&gt;2627&lt;/item&gt;&lt;item&gt;2632&lt;/item&gt;&lt;/record-ids&gt;&lt;/item&gt;&lt;/Libraries&gt;"/>
  </w:docVars>
  <w:rsids>
    <w:rsidRoot w:val="00DF0C87"/>
    <w:rsid w:val="00043215"/>
    <w:rsid w:val="0006397D"/>
    <w:rsid w:val="000D3623"/>
    <w:rsid w:val="000F0F06"/>
    <w:rsid w:val="000F4026"/>
    <w:rsid w:val="00143BAA"/>
    <w:rsid w:val="00214EE2"/>
    <w:rsid w:val="002A0E0B"/>
    <w:rsid w:val="003B1789"/>
    <w:rsid w:val="0040386B"/>
    <w:rsid w:val="004F5B53"/>
    <w:rsid w:val="00542B73"/>
    <w:rsid w:val="00606B28"/>
    <w:rsid w:val="0067598B"/>
    <w:rsid w:val="00712EF7"/>
    <w:rsid w:val="007B1760"/>
    <w:rsid w:val="00816B5C"/>
    <w:rsid w:val="00820B07"/>
    <w:rsid w:val="0085573E"/>
    <w:rsid w:val="008C400E"/>
    <w:rsid w:val="008E4224"/>
    <w:rsid w:val="0092113F"/>
    <w:rsid w:val="00A71A40"/>
    <w:rsid w:val="00AB0396"/>
    <w:rsid w:val="00B66700"/>
    <w:rsid w:val="00B67C7C"/>
    <w:rsid w:val="00C1081C"/>
    <w:rsid w:val="00C9029E"/>
    <w:rsid w:val="00CC4AA0"/>
    <w:rsid w:val="00D129A1"/>
    <w:rsid w:val="00D41B98"/>
    <w:rsid w:val="00D7623E"/>
    <w:rsid w:val="00DF0C87"/>
    <w:rsid w:val="00E9457F"/>
    <w:rsid w:val="00F53C73"/>
    <w:rsid w:val="00F64863"/>
    <w:rsid w:val="00F65C00"/>
    <w:rsid w:val="00FA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F303A"/>
  <w15:chartTrackingRefBased/>
  <w15:docId w15:val="{C64F2BD9-AD61-4B58-BB62-2D2ADB7F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DF0C8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F0C8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F0C8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F0C87"/>
    <w:rPr>
      <w:rFonts w:ascii="Calibri" w:hAnsi="Calibri"/>
      <w:noProof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B178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B178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76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760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qFormat/>
    <w:rsid w:val="00D7623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45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820B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fontTable" Target="fontTable.xml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86B42-1AD0-4037-84C0-F3DDFD3BA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Hildebrand</dc:creator>
  <cp:keywords/>
  <dc:description/>
  <cp:lastModifiedBy>Michael Hildebrand</cp:lastModifiedBy>
  <cp:revision>9</cp:revision>
  <dcterms:created xsi:type="dcterms:W3CDTF">2018-03-13T04:48:00Z</dcterms:created>
  <dcterms:modified xsi:type="dcterms:W3CDTF">2018-03-15T04:45:00Z</dcterms:modified>
</cp:coreProperties>
</file>