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9083" w14:textId="28275D1B" w:rsidR="00261040" w:rsidRPr="003F195B" w:rsidRDefault="00261040" w:rsidP="00261040">
      <w:pPr>
        <w:rPr>
          <w:rFonts w:asciiTheme="majorHAnsi" w:hAnsiTheme="majorHAnsi" w:cstheme="majorHAnsi"/>
          <w:b/>
          <w:sz w:val="28"/>
          <w:szCs w:val="20"/>
          <w:lang w:val="en-US"/>
        </w:rPr>
      </w:pPr>
      <w:r w:rsidRPr="003F195B">
        <w:rPr>
          <w:rFonts w:asciiTheme="majorHAnsi" w:hAnsiTheme="majorHAnsi" w:cstheme="majorHAnsi"/>
          <w:b/>
          <w:sz w:val="28"/>
          <w:szCs w:val="20"/>
          <w:lang w:val="en-US"/>
        </w:rPr>
        <w:t>Lymphocyte counts and infection rates</w:t>
      </w:r>
      <w:r w:rsidR="006C2B43">
        <w:rPr>
          <w:rFonts w:asciiTheme="majorHAnsi" w:hAnsiTheme="majorHAnsi" w:cstheme="majorHAnsi"/>
          <w:b/>
          <w:sz w:val="28"/>
          <w:szCs w:val="20"/>
          <w:lang w:val="en-US"/>
        </w:rPr>
        <w:t>:</w:t>
      </w:r>
      <w:r w:rsidRPr="003F195B">
        <w:rPr>
          <w:rFonts w:asciiTheme="majorHAnsi" w:hAnsiTheme="majorHAnsi" w:cstheme="majorHAnsi"/>
          <w:b/>
          <w:sz w:val="28"/>
          <w:szCs w:val="20"/>
          <w:lang w:val="en-US"/>
        </w:rPr>
        <w:t xml:space="preserve"> long-term fingolimod</w:t>
      </w:r>
      <w:r w:rsidR="00555A68" w:rsidRPr="003F195B">
        <w:rPr>
          <w:rFonts w:asciiTheme="majorHAnsi" w:hAnsiTheme="majorHAnsi" w:cstheme="majorHAnsi"/>
          <w:b/>
          <w:sz w:val="28"/>
          <w:szCs w:val="20"/>
          <w:lang w:val="en-US"/>
        </w:rPr>
        <w:t xml:space="preserve"> treatment in </w:t>
      </w:r>
      <w:r w:rsidRPr="003F195B">
        <w:rPr>
          <w:rFonts w:asciiTheme="majorHAnsi" w:hAnsiTheme="majorHAnsi" w:cstheme="majorHAnsi"/>
          <w:b/>
          <w:sz w:val="28"/>
          <w:szCs w:val="20"/>
          <w:lang w:val="en-US"/>
        </w:rPr>
        <w:t>primary progressive MS</w:t>
      </w:r>
    </w:p>
    <w:p w14:paraId="46C28006" w14:textId="122EECF3" w:rsidR="00614227" w:rsidRPr="003F195B" w:rsidRDefault="0061422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Edward </w:t>
      </w:r>
      <w:r w:rsidR="00294727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J.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Fox,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MD,</w:t>
      </w:r>
      <w:r w:rsidR="00C67375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PhD,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Fred Lublin,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Jerry S. Wolinsky,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MD, Jeff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r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>e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y </w:t>
      </w:r>
      <w:r w:rsidR="008B120C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A.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Cohen,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Ian M. Williams,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PhD,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Xiangyi Meng,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PhD,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Marina Ziehn,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PhD,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Scott </w:t>
      </w:r>
      <w:proofErr w:type="spellStart"/>
      <w:r w:rsidRPr="003F195B">
        <w:rPr>
          <w:rFonts w:asciiTheme="majorHAnsi" w:hAnsiTheme="majorHAnsi" w:cstheme="majorHAnsi"/>
          <w:sz w:val="20"/>
          <w:szCs w:val="20"/>
          <w:lang w:val="en-US"/>
        </w:rPr>
        <w:t>Kolodny</w:t>
      </w:r>
      <w:proofErr w:type="spellEnd"/>
      <w:r w:rsidRPr="003F195B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MD,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B11A0">
        <w:rPr>
          <w:rFonts w:asciiTheme="majorHAnsi" w:hAnsiTheme="majorHAnsi" w:cstheme="majorHAnsi"/>
          <w:sz w:val="20"/>
          <w:szCs w:val="20"/>
          <w:lang w:val="en-US"/>
        </w:rPr>
        <w:t xml:space="preserve">and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Bruce A.C. Cree</w:t>
      </w:r>
      <w:r w:rsidR="00B611AB" w:rsidRPr="003F195B">
        <w:rPr>
          <w:rFonts w:asciiTheme="majorHAnsi" w:hAnsiTheme="majorHAnsi" w:cstheme="majorHAnsi"/>
          <w:sz w:val="20"/>
          <w:szCs w:val="20"/>
          <w:lang w:val="en-US"/>
        </w:rPr>
        <w:t>, MD</w:t>
      </w:r>
      <w:r w:rsidR="0026577F" w:rsidRPr="003F195B">
        <w:rPr>
          <w:rFonts w:asciiTheme="majorHAnsi" w:hAnsiTheme="majorHAnsi" w:cstheme="majorHAnsi"/>
          <w:sz w:val="20"/>
          <w:szCs w:val="20"/>
          <w:lang w:val="en-US"/>
        </w:rPr>
        <w:t>, PhD</w:t>
      </w:r>
      <w:r w:rsidR="000F2012" w:rsidRPr="003F195B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26577F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MAS</w:t>
      </w:r>
    </w:p>
    <w:p w14:paraId="037CB077" w14:textId="77777777" w:rsidR="00140F31" w:rsidRDefault="00140F3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790AD5DD" w14:textId="6EBF1A3F" w:rsidR="00A75B04" w:rsidRPr="003F195B" w:rsidRDefault="009E2EC8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b/>
          <w:sz w:val="20"/>
          <w:szCs w:val="20"/>
          <w:lang w:val="en-US"/>
        </w:rPr>
        <w:t>Supplemental data</w:t>
      </w:r>
    </w:p>
    <w:p w14:paraId="583ADDBE" w14:textId="77777777" w:rsidR="00771243" w:rsidRDefault="00771243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6DB921C" w14:textId="7D79EB7A" w:rsidR="001F16D9" w:rsidRPr="0093778F" w:rsidRDefault="003526F8" w:rsidP="002B252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b/>
          <w:sz w:val="20"/>
          <w:szCs w:val="20"/>
          <w:lang w:val="en-US"/>
        </w:rPr>
        <w:t>T</w:t>
      </w:r>
      <w:r w:rsidR="001F16D9" w:rsidRPr="003F195B">
        <w:rPr>
          <w:rFonts w:asciiTheme="majorHAnsi" w:hAnsiTheme="majorHAnsi" w:cstheme="majorHAnsi"/>
          <w:b/>
          <w:sz w:val="20"/>
          <w:szCs w:val="20"/>
          <w:lang w:val="en-US"/>
        </w:rPr>
        <w:t>able e</w:t>
      </w:r>
      <w:r w:rsidRPr="003F195B">
        <w:rPr>
          <w:rFonts w:asciiTheme="majorHAnsi" w:hAnsiTheme="majorHAnsi" w:cstheme="majorHAnsi"/>
          <w:b/>
          <w:sz w:val="20"/>
          <w:szCs w:val="20"/>
          <w:lang w:val="en-US"/>
        </w:rPr>
        <w:t>-</w:t>
      </w:r>
      <w:r w:rsidR="001F16D9" w:rsidRPr="003F195B">
        <w:rPr>
          <w:rFonts w:asciiTheme="majorHAnsi" w:hAnsiTheme="majorHAnsi" w:cstheme="majorHAnsi"/>
          <w:b/>
          <w:sz w:val="20"/>
          <w:szCs w:val="20"/>
          <w:lang w:val="en-US"/>
        </w:rPr>
        <w:t xml:space="preserve">1 </w:t>
      </w:r>
      <w:r w:rsidR="002B2524" w:rsidRPr="002B2524">
        <w:rPr>
          <w:rFonts w:asciiTheme="majorHAnsi" w:hAnsiTheme="majorHAnsi" w:cstheme="majorHAnsi"/>
          <w:sz w:val="20"/>
          <w:szCs w:val="20"/>
          <w:lang w:val="en-US"/>
        </w:rPr>
        <w:t xml:space="preserve">Incidences of all infections, respiratory tract infections, and herpes infections in patients with a low white blood cell count, a low absolute neutrophil count, and both a low absolute lymphocyte count and </w:t>
      </w:r>
      <w:r w:rsidR="002B2524" w:rsidRPr="0093778F">
        <w:rPr>
          <w:rFonts w:asciiTheme="majorHAnsi" w:hAnsiTheme="majorHAnsi" w:cstheme="majorHAnsi"/>
          <w:sz w:val="20"/>
          <w:szCs w:val="20"/>
          <w:lang w:val="en-US"/>
        </w:rPr>
        <w:t>a low white blood cell count at any visit</w:t>
      </w:r>
    </w:p>
    <w:p w14:paraId="309FCAC4" w14:textId="4682FD6D" w:rsidR="0057284B" w:rsidRPr="0093778F" w:rsidRDefault="0057284B" w:rsidP="002B252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 xml:space="preserve">Table e-2 </w:t>
      </w:r>
      <w:r w:rsidR="004A38F3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Incidences of all infections, respiratory tract infections, and herpes infections </w:t>
      </w:r>
      <w:r w:rsidR="00E25849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per 100 patient-years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among subjects initially receiving fingolimod 1.25 mg who switched to fingolimod 0.5 mg based on nadir absolute lymphocyte count</w:t>
      </w:r>
    </w:p>
    <w:p w14:paraId="597C7D8E" w14:textId="2A4129F9" w:rsidR="00514E88" w:rsidRPr="0093778F" w:rsidRDefault="00514E88" w:rsidP="002B252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 xml:space="preserve">Table e-3 </w:t>
      </w:r>
      <w:r w:rsidR="004A38F3" w:rsidRPr="0093778F">
        <w:rPr>
          <w:rFonts w:asciiTheme="majorHAnsi" w:hAnsiTheme="majorHAnsi" w:cstheme="majorHAnsi"/>
          <w:sz w:val="20"/>
          <w:szCs w:val="20"/>
          <w:lang w:val="en-US"/>
        </w:rPr>
        <w:t>Incidences of all infections, respiratory tract infections, and herpes infections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E25849" w:rsidRPr="0093778F">
        <w:rPr>
          <w:rFonts w:asciiTheme="majorHAnsi" w:hAnsiTheme="majorHAnsi" w:cstheme="majorHAnsi"/>
          <w:sz w:val="20"/>
          <w:szCs w:val="20"/>
          <w:lang w:val="en-US"/>
        </w:rPr>
        <w:t>per 100 patient-years</w:t>
      </w:r>
      <w:r w:rsidR="00ED6D0E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among subjects initially receiving fingolimod 1.25 mg who switched to fingolimod 0.5 mg based on mean absolute lymphocyte count</w:t>
      </w:r>
    </w:p>
    <w:p w14:paraId="39FF5BFC" w14:textId="2C789D1F" w:rsidR="00771243" w:rsidRPr="0093778F" w:rsidRDefault="0057284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Table e-</w:t>
      </w:r>
      <w:r w:rsidR="00514E88" w:rsidRPr="0093778F">
        <w:rPr>
          <w:rFonts w:asciiTheme="majorHAnsi" w:hAnsiTheme="majorHAnsi" w:cstheme="majorHAnsi"/>
          <w:b/>
          <w:sz w:val="20"/>
          <w:szCs w:val="20"/>
          <w:lang w:val="en-US"/>
        </w:rPr>
        <w:t>4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Correlation of absolute lymphocyte count with occurrence of skin malignancies</w:t>
      </w:r>
    </w:p>
    <w:p w14:paraId="648B2FAB" w14:textId="3761D3D9" w:rsidR="004A38F3" w:rsidRPr="0093778F" w:rsidRDefault="00C71B8A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Table e-5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Correlation of nadir absolute lymphocyte count with occurrence of skin malignancies</w:t>
      </w:r>
    </w:p>
    <w:p w14:paraId="71B42394" w14:textId="06ED9C20" w:rsidR="00771243" w:rsidRPr="0093778F" w:rsidRDefault="003526F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F</w:t>
      </w:r>
      <w:r w:rsidR="001F16D9" w:rsidRPr="0093778F">
        <w:rPr>
          <w:rFonts w:asciiTheme="majorHAnsi" w:hAnsiTheme="majorHAnsi" w:cstheme="majorHAnsi"/>
          <w:b/>
          <w:sz w:val="20"/>
          <w:szCs w:val="20"/>
          <w:lang w:val="en-US"/>
        </w:rPr>
        <w:t>igure e</w:t>
      </w: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-</w:t>
      </w:r>
      <w:r w:rsidR="001F16D9" w:rsidRPr="0093778F">
        <w:rPr>
          <w:rFonts w:asciiTheme="majorHAnsi" w:hAnsiTheme="majorHAnsi" w:cstheme="majorHAnsi"/>
          <w:b/>
          <w:sz w:val="20"/>
          <w:szCs w:val="20"/>
          <w:lang w:val="en-US"/>
        </w:rPr>
        <w:t>1</w:t>
      </w:r>
      <w:r w:rsidR="001F16D9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E621C" w:rsidRPr="0093778F">
        <w:rPr>
          <w:rFonts w:asciiTheme="majorHAnsi" w:hAnsiTheme="majorHAnsi" w:cstheme="majorHAnsi"/>
          <w:sz w:val="20"/>
          <w:szCs w:val="20"/>
          <w:lang w:val="en-US"/>
        </w:rPr>
        <w:t>Recovery of absolute lymphocyte count following fingolimod treatment discontinuation</w:t>
      </w:r>
      <w:r w:rsidR="003E621C" w:rsidRPr="003E621C">
        <w:rPr>
          <w:rFonts w:asciiTheme="majorHAnsi" w:hAnsiTheme="majorHAnsi" w:cstheme="majorHAnsi"/>
          <w:sz w:val="20"/>
          <w:szCs w:val="20"/>
          <w:lang w:val="en-US"/>
        </w:rPr>
        <w:t xml:space="preserve"> (overall fingolimod 0.</w:t>
      </w:r>
      <w:r w:rsidR="003E621C" w:rsidRPr="0093778F">
        <w:rPr>
          <w:rFonts w:asciiTheme="majorHAnsi" w:hAnsiTheme="majorHAnsi" w:cstheme="majorHAnsi"/>
          <w:sz w:val="20"/>
          <w:szCs w:val="20"/>
          <w:lang w:val="en-US"/>
        </w:rPr>
        <w:t>5 mg/day group)</w:t>
      </w:r>
    </w:p>
    <w:p w14:paraId="05CAEBD7" w14:textId="77777777" w:rsidR="00C64167" w:rsidRPr="0093778F" w:rsidRDefault="003526F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F</w:t>
      </w:r>
      <w:r w:rsidR="001F16D9" w:rsidRPr="0093778F">
        <w:rPr>
          <w:rFonts w:asciiTheme="majorHAnsi" w:hAnsiTheme="majorHAnsi" w:cstheme="majorHAnsi"/>
          <w:b/>
          <w:sz w:val="20"/>
          <w:szCs w:val="20"/>
          <w:lang w:val="en-US"/>
        </w:rPr>
        <w:t>igure e</w:t>
      </w: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-</w:t>
      </w:r>
      <w:r w:rsidR="001F16D9" w:rsidRPr="0093778F">
        <w:rPr>
          <w:rFonts w:asciiTheme="majorHAnsi" w:hAnsiTheme="majorHAnsi" w:cstheme="majorHAnsi"/>
          <w:b/>
          <w:sz w:val="20"/>
          <w:szCs w:val="20"/>
          <w:lang w:val="en-US"/>
        </w:rPr>
        <w:t>2</w:t>
      </w:r>
      <w:r w:rsidR="001F16D9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92491" w:rsidRPr="0093778F">
        <w:rPr>
          <w:rFonts w:asciiTheme="majorHAnsi" w:hAnsiTheme="majorHAnsi" w:cstheme="majorHAnsi"/>
          <w:sz w:val="20"/>
          <w:szCs w:val="20"/>
          <w:lang w:val="en-US"/>
        </w:rPr>
        <w:t>Incidences of all infections, respiratory tract infections, and herpes infections in patients receiving fingolimod 1.25 mg/day</w:t>
      </w:r>
    </w:p>
    <w:p w14:paraId="76FF2677" w14:textId="20F3F419" w:rsidR="00AB116B" w:rsidRPr="003F195B" w:rsidRDefault="00AB116B">
      <w:pPr>
        <w:rPr>
          <w:rFonts w:asciiTheme="majorHAnsi" w:hAnsiTheme="majorHAnsi" w:cstheme="majorHAnsi"/>
          <w:sz w:val="20"/>
          <w:szCs w:val="20"/>
        </w:rPr>
        <w:sectPr w:rsidR="00AB116B" w:rsidRPr="003F195B" w:rsidSect="00BA71B0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t>Figure e-3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Cumulative development of infectious complications over time</w:t>
      </w:r>
      <w:r w:rsidR="000242D8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(Kaplan</w:t>
      </w:r>
      <w:r w:rsidR="00595E43" w:rsidRPr="0093778F">
        <w:rPr>
          <w:rFonts w:asciiTheme="majorHAnsi" w:hAnsiTheme="majorHAnsi" w:cstheme="majorHAnsi"/>
          <w:sz w:val="20"/>
          <w:szCs w:val="20"/>
          <w:lang w:val="en-US"/>
        </w:rPr>
        <w:sym w:font="Symbol" w:char="F02D"/>
      </w:r>
      <w:r w:rsidR="000242D8" w:rsidRPr="0093778F">
        <w:rPr>
          <w:rFonts w:asciiTheme="majorHAnsi" w:hAnsiTheme="majorHAnsi" w:cstheme="majorHAnsi"/>
          <w:sz w:val="20"/>
          <w:szCs w:val="20"/>
          <w:lang w:val="en-US"/>
        </w:rPr>
        <w:t>Meier analysis)</w:t>
      </w:r>
    </w:p>
    <w:p w14:paraId="47A45F8B" w14:textId="25532E7B" w:rsidR="00A75B04" w:rsidRPr="003F195B" w:rsidRDefault="00C64167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b/>
          <w:sz w:val="20"/>
          <w:szCs w:val="20"/>
        </w:rPr>
        <w:lastRenderedPageBreak/>
        <w:t>Table e</w:t>
      </w:r>
      <w:r w:rsidR="009908CA" w:rsidRPr="003F195B">
        <w:rPr>
          <w:rFonts w:asciiTheme="majorHAnsi" w:hAnsiTheme="majorHAnsi" w:cstheme="majorHAnsi"/>
          <w:b/>
          <w:sz w:val="20"/>
          <w:szCs w:val="20"/>
        </w:rPr>
        <w:t>-</w:t>
      </w:r>
      <w:r w:rsidR="008F1FF3" w:rsidRPr="003F195B">
        <w:rPr>
          <w:rFonts w:asciiTheme="majorHAnsi" w:hAnsiTheme="majorHAnsi" w:cstheme="majorHAnsi"/>
          <w:b/>
          <w:sz w:val="20"/>
          <w:szCs w:val="20"/>
        </w:rPr>
        <w:t>1</w:t>
      </w:r>
      <w:r w:rsidRPr="003F195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F195B">
        <w:rPr>
          <w:rFonts w:asciiTheme="majorHAnsi" w:hAnsiTheme="majorHAnsi" w:cstheme="majorHAnsi"/>
          <w:sz w:val="20"/>
          <w:szCs w:val="20"/>
        </w:rPr>
        <w:t>Incidence</w:t>
      </w:r>
      <w:r w:rsidR="003B7885" w:rsidRPr="003F195B">
        <w:rPr>
          <w:rFonts w:asciiTheme="majorHAnsi" w:hAnsiTheme="majorHAnsi" w:cstheme="majorHAnsi"/>
          <w:sz w:val="20"/>
          <w:szCs w:val="20"/>
        </w:rPr>
        <w:t>s</w:t>
      </w:r>
      <w:r w:rsidRPr="003F195B">
        <w:rPr>
          <w:rFonts w:asciiTheme="majorHAnsi" w:hAnsiTheme="majorHAnsi" w:cstheme="majorHAnsi"/>
          <w:sz w:val="20"/>
          <w:szCs w:val="20"/>
        </w:rPr>
        <w:t xml:space="preserve"> of all infections, respiratory</w:t>
      </w:r>
      <w:r w:rsidR="00C5244F" w:rsidRPr="003F195B">
        <w:rPr>
          <w:rFonts w:asciiTheme="majorHAnsi" w:hAnsiTheme="majorHAnsi" w:cstheme="majorHAnsi"/>
          <w:sz w:val="20"/>
          <w:szCs w:val="20"/>
        </w:rPr>
        <w:t xml:space="preserve"> tract</w:t>
      </w:r>
      <w:r w:rsidRPr="003F195B">
        <w:rPr>
          <w:rFonts w:asciiTheme="majorHAnsi" w:hAnsiTheme="majorHAnsi" w:cstheme="majorHAnsi"/>
          <w:sz w:val="20"/>
          <w:szCs w:val="20"/>
        </w:rPr>
        <w:t xml:space="preserve"> infections</w:t>
      </w:r>
      <w:r w:rsidR="001F16D9" w:rsidRPr="003F195B">
        <w:rPr>
          <w:rFonts w:asciiTheme="majorHAnsi" w:hAnsiTheme="majorHAnsi" w:cstheme="majorHAnsi"/>
          <w:sz w:val="20"/>
          <w:szCs w:val="20"/>
        </w:rPr>
        <w:t>,</w:t>
      </w:r>
      <w:r w:rsidRPr="003F195B">
        <w:rPr>
          <w:rFonts w:asciiTheme="majorHAnsi" w:hAnsiTheme="majorHAnsi" w:cstheme="majorHAnsi"/>
          <w:sz w:val="20"/>
          <w:szCs w:val="20"/>
        </w:rPr>
        <w:t xml:space="preserve"> and herpes infections in patients with </w:t>
      </w:r>
      <w:r w:rsidR="00CD00FE">
        <w:rPr>
          <w:rFonts w:asciiTheme="majorHAnsi" w:hAnsiTheme="majorHAnsi" w:cstheme="majorHAnsi"/>
          <w:sz w:val="20"/>
          <w:szCs w:val="20"/>
        </w:rPr>
        <w:t xml:space="preserve">a </w:t>
      </w:r>
      <w:r w:rsidRPr="003F195B">
        <w:rPr>
          <w:rFonts w:asciiTheme="majorHAnsi" w:hAnsiTheme="majorHAnsi" w:cstheme="majorHAnsi"/>
          <w:sz w:val="20"/>
          <w:szCs w:val="20"/>
        </w:rPr>
        <w:t>low white</w:t>
      </w:r>
      <w:r w:rsidR="00E57348">
        <w:rPr>
          <w:rFonts w:asciiTheme="majorHAnsi" w:hAnsiTheme="majorHAnsi" w:cstheme="majorHAnsi"/>
          <w:sz w:val="20"/>
          <w:szCs w:val="20"/>
        </w:rPr>
        <w:t xml:space="preserve"> </w:t>
      </w:r>
      <w:r w:rsidRPr="003F195B">
        <w:rPr>
          <w:rFonts w:asciiTheme="majorHAnsi" w:hAnsiTheme="majorHAnsi" w:cstheme="majorHAnsi"/>
          <w:sz w:val="20"/>
          <w:szCs w:val="20"/>
        </w:rPr>
        <w:t xml:space="preserve">blood cell count, </w:t>
      </w:r>
      <w:r w:rsidR="00CD00FE">
        <w:rPr>
          <w:rFonts w:asciiTheme="majorHAnsi" w:hAnsiTheme="majorHAnsi" w:cstheme="majorHAnsi"/>
          <w:sz w:val="20"/>
          <w:szCs w:val="20"/>
        </w:rPr>
        <w:t xml:space="preserve">a </w:t>
      </w:r>
      <w:r w:rsidRPr="003F195B">
        <w:rPr>
          <w:rFonts w:asciiTheme="majorHAnsi" w:hAnsiTheme="majorHAnsi" w:cstheme="majorHAnsi"/>
          <w:sz w:val="20"/>
          <w:szCs w:val="20"/>
        </w:rPr>
        <w:t>low absolute neutrophil count, and both</w:t>
      </w:r>
      <w:r w:rsidR="00CD00FE">
        <w:rPr>
          <w:rFonts w:asciiTheme="majorHAnsi" w:hAnsiTheme="majorHAnsi" w:cstheme="majorHAnsi"/>
          <w:sz w:val="20"/>
          <w:szCs w:val="20"/>
        </w:rPr>
        <w:t xml:space="preserve"> a</w:t>
      </w:r>
      <w:r w:rsidRPr="003F195B">
        <w:rPr>
          <w:rFonts w:asciiTheme="majorHAnsi" w:hAnsiTheme="majorHAnsi" w:cstheme="majorHAnsi"/>
          <w:sz w:val="20"/>
          <w:szCs w:val="20"/>
        </w:rPr>
        <w:t xml:space="preserve"> low absolute lymphocyte count and</w:t>
      </w:r>
      <w:r w:rsidR="00CD00FE">
        <w:rPr>
          <w:rFonts w:asciiTheme="majorHAnsi" w:hAnsiTheme="majorHAnsi" w:cstheme="majorHAnsi"/>
          <w:sz w:val="20"/>
          <w:szCs w:val="20"/>
        </w:rPr>
        <w:t xml:space="preserve"> a</w:t>
      </w:r>
      <w:r w:rsidRPr="003F195B">
        <w:rPr>
          <w:rFonts w:asciiTheme="majorHAnsi" w:hAnsiTheme="majorHAnsi" w:cstheme="majorHAnsi"/>
          <w:sz w:val="20"/>
          <w:szCs w:val="20"/>
        </w:rPr>
        <w:t xml:space="preserve"> low white blood cell count</w:t>
      </w:r>
      <w:r w:rsidR="00565E35" w:rsidRPr="003F195B">
        <w:rPr>
          <w:rFonts w:asciiTheme="majorHAnsi" w:hAnsiTheme="majorHAnsi" w:cstheme="majorHAnsi"/>
          <w:sz w:val="20"/>
          <w:szCs w:val="20"/>
        </w:rPr>
        <w:t xml:space="preserve"> at any visit</w:t>
      </w:r>
    </w:p>
    <w:tbl>
      <w:tblPr>
        <w:tblStyle w:val="TableGridLight1"/>
        <w:tblW w:w="14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1984"/>
        <w:gridCol w:w="1984"/>
        <w:gridCol w:w="1984"/>
        <w:gridCol w:w="1984"/>
        <w:gridCol w:w="1984"/>
        <w:gridCol w:w="1984"/>
      </w:tblGrid>
      <w:tr w:rsidR="00F40D4E" w:rsidRPr="003F195B" w14:paraId="241989C0" w14:textId="77777777" w:rsidTr="00393CBF">
        <w:trPr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14:paraId="302315BB" w14:textId="77777777" w:rsidR="00F40D4E" w:rsidRPr="003F195B" w:rsidRDefault="00F40D4E" w:rsidP="006D22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E30DE" w14:textId="41264CE8" w:rsidR="00F40D4E" w:rsidRPr="003F195B" w:rsidRDefault="00F40D4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WB</w:t>
            </w:r>
            <w:r w:rsidR="00C85F39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C ≤ 2 × 10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37AC1A" w14:textId="79425B2B" w:rsidR="00F40D4E" w:rsidRPr="003F195B" w:rsidRDefault="00F40D4E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ANC ≤ 1 × 10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0F740" w14:textId="059B3374" w:rsidR="00F40D4E" w:rsidRPr="003F195B" w:rsidRDefault="00F40D4E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WB</w:t>
            </w:r>
            <w:r w:rsidR="00C85F39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C ≤ 2 × 10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and ALC &lt; 0.2 × 10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</w:p>
        </w:tc>
      </w:tr>
      <w:tr w:rsidR="00B34907" w:rsidRPr="003F195B" w14:paraId="09CFE3C9" w14:textId="77777777" w:rsidTr="00393CBF">
        <w:trPr>
          <w:jc w:val="center"/>
        </w:trPr>
        <w:tc>
          <w:tcPr>
            <w:tcW w:w="2211" w:type="dxa"/>
          </w:tcPr>
          <w:p w14:paraId="02C64772" w14:textId="77777777" w:rsidR="00905C56" w:rsidRPr="003F195B" w:rsidRDefault="00905C56" w:rsidP="006D22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AF98D7" w14:textId="5B9EB401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0.5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11)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5BB0FE" w14:textId="1C72C02F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1.25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11)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871AF7" w14:textId="4271E924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0.5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2)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C2262AA" w14:textId="1C84C3D1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1.25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2)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3008B9" w14:textId="3AEC1D53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0.5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CB6971" w14:textId="70531576" w:rsidR="00905C56" w:rsidRPr="003F195B" w:rsidRDefault="00905C56" w:rsidP="00D608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Fingolimod 1.25 mg/day</w:t>
            </w:r>
            <w:r w:rsidR="0007184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184C" w:rsidRPr="003F195B">
              <w:rPr>
                <w:rFonts w:asciiTheme="majorHAnsi" w:hAnsiTheme="majorHAnsi" w:cstheme="majorHAnsi"/>
                <w:b/>
                <w:sz w:val="20"/>
                <w:szCs w:val="20"/>
              </w:rPr>
              <w:t>(n = 4)</w:t>
            </w:r>
          </w:p>
        </w:tc>
      </w:tr>
      <w:tr w:rsidR="00B34907" w:rsidRPr="003F195B" w14:paraId="43945A89" w14:textId="77777777" w:rsidTr="009212E3">
        <w:trPr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14:paraId="15ADF47D" w14:textId="75BD7247" w:rsidR="00C64167" w:rsidRPr="003F195B" w:rsidRDefault="00905C56" w:rsidP="006D22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All infections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D8910DD" w14:textId="44C016C2" w:rsidR="00C64167" w:rsidRPr="003F195B" w:rsidRDefault="009212E3">
            <w:pPr>
              <w:spacing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49.9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178.9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F8B6B9" w14:textId="198BD260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91.0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36.6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187.5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58C3A2" w14:textId="0F3645D3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220.0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26.7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794.8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55CD0E" w14:textId="2394F7C6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310.9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37.7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1123.0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A87C8F" w14:textId="5A08106C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178.2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48.6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456.2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BF580E" w14:textId="159C3004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0064AE" w:rsidRPr="003F195B">
              <w:rPr>
                <w:rFonts w:asciiTheme="majorHAnsi" w:hAnsiTheme="majorHAnsi" w:cstheme="majorHAnsi"/>
                <w:sz w:val="20"/>
                <w:szCs w:val="20"/>
              </w:rPr>
              <w:t>51.7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6.3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186.8</w:t>
            </w:r>
            <w:r w:rsidR="000064AE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B34907" w:rsidRPr="003F195B" w14:paraId="40452BE0" w14:textId="77777777" w:rsidTr="009212E3">
        <w:trPr>
          <w:jc w:val="center"/>
        </w:trPr>
        <w:tc>
          <w:tcPr>
            <w:tcW w:w="2211" w:type="dxa"/>
          </w:tcPr>
          <w:p w14:paraId="2D6214E2" w14:textId="7378BCC3" w:rsidR="00C64167" w:rsidRPr="003F195B" w:rsidRDefault="00905C56" w:rsidP="006D22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Upper respiratory tract infection</w:t>
            </w:r>
          </w:p>
        </w:tc>
        <w:tc>
          <w:tcPr>
            <w:tcW w:w="1984" w:type="dxa"/>
          </w:tcPr>
          <w:p w14:paraId="26C7F726" w14:textId="1D3F5638" w:rsidR="00C64167" w:rsidRPr="003F195B" w:rsidRDefault="009212E3">
            <w:pPr>
              <w:spacing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14.5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4.0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37.2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35853391" w14:textId="1BA1EFAD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10.2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0.3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56.9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6061267F" w14:textId="12D4F51A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22.2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A868A8" w:rsidRPr="003F195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.9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0A0ED119" w14:textId="0ECB99D9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75786254" w14:textId="1A9F4D02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62.1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12.8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181.4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26611DD7" w14:textId="6C5A1500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B34907" w:rsidRPr="003F195B" w14:paraId="417FC167" w14:textId="77777777" w:rsidTr="009212E3">
        <w:trPr>
          <w:jc w:val="center"/>
        </w:trPr>
        <w:tc>
          <w:tcPr>
            <w:tcW w:w="2211" w:type="dxa"/>
          </w:tcPr>
          <w:p w14:paraId="38B0FE3A" w14:textId="0A36B83E" w:rsidR="00C64167" w:rsidRPr="003F195B" w:rsidRDefault="00905C56" w:rsidP="006D22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Viral upper respiratory tract infection</w:t>
            </w:r>
          </w:p>
        </w:tc>
        <w:tc>
          <w:tcPr>
            <w:tcW w:w="1984" w:type="dxa"/>
          </w:tcPr>
          <w:p w14:paraId="7915C657" w14:textId="72EB35F0" w:rsidR="00C64167" w:rsidRPr="003F195B" w:rsidRDefault="009212E3">
            <w:pPr>
              <w:spacing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12.0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B34907" w:rsidRPr="003F195B">
              <w:rPr>
                <w:rFonts w:asciiTheme="majorHAnsi" w:hAnsiTheme="majorHAnsi" w:cstheme="majorHAnsi"/>
                <w:sz w:val="20"/>
                <w:szCs w:val="20"/>
              </w:rPr>
              <w:t>30.7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02576375" w14:textId="123AF910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9.4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52.5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5366FE8D" w14:textId="7B7184D8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3140464F" w14:textId="4D024ED9" w:rsidR="00C64167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09D60B6F" w14:textId="335F3EC5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7.7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42.9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738166C8" w14:textId="190B3393" w:rsidR="00C64167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25.3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141.2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9212E3" w:rsidRPr="003F195B" w14:paraId="729E52BA" w14:textId="77777777" w:rsidTr="009212E3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14:paraId="5D2B5CBD" w14:textId="575CFCCD" w:rsidR="009212E3" w:rsidRPr="003F195B" w:rsidRDefault="009212E3" w:rsidP="006D22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Oral herpes</w:t>
            </w:r>
            <w:r w:rsidR="00CD00FE">
              <w:rPr>
                <w:rFonts w:asciiTheme="majorHAnsi" w:hAnsiTheme="majorHAnsi" w:cstheme="majorHAnsi"/>
                <w:sz w:val="20"/>
                <w:szCs w:val="20"/>
              </w:rPr>
              <w:t xml:space="preserve"> infection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91B412" w14:textId="551A96B9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6.2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0.8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22.3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DD6D4B" w14:textId="781515EA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B60894" w14:textId="172F2DE3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23.1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128.9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740123" w14:textId="08002660" w:rsidR="009212E3" w:rsidRPr="003F195B" w:rsidRDefault="009212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5C80B7" w14:textId="7D4E724C" w:rsidR="009212E3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74F1" w:rsidRPr="003F195B">
              <w:rPr>
                <w:rFonts w:asciiTheme="majorHAnsi" w:hAnsiTheme="majorHAnsi" w:cstheme="majorHAnsi"/>
                <w:sz w:val="20"/>
                <w:szCs w:val="20"/>
              </w:rPr>
              <w:t>8.8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49.2</w:t>
            </w:r>
            <w:r w:rsidR="008874F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C2E6FD" w14:textId="4583B5FC" w:rsidR="009212E3" w:rsidRPr="003F195B" w:rsidRDefault="00F40D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F195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F195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</w:tbl>
    <w:p w14:paraId="76DD5C1E" w14:textId="523ECE5F" w:rsidR="003B7885" w:rsidRPr="003F195B" w:rsidRDefault="00905C56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>Dat</w:t>
      </w:r>
      <w:r w:rsidR="0076550C">
        <w:rPr>
          <w:rFonts w:asciiTheme="majorHAnsi" w:hAnsiTheme="majorHAnsi" w:cstheme="majorHAnsi"/>
          <w:sz w:val="20"/>
          <w:szCs w:val="20"/>
        </w:rPr>
        <w:t>a</w:t>
      </w:r>
      <w:r w:rsidRPr="003F195B">
        <w:rPr>
          <w:rFonts w:asciiTheme="majorHAnsi" w:hAnsiTheme="majorHAnsi" w:cstheme="majorHAnsi"/>
          <w:sz w:val="20"/>
          <w:szCs w:val="20"/>
        </w:rPr>
        <w:t xml:space="preserve"> are reported as numbers</w:t>
      </w:r>
      <w:r w:rsidR="009212E3"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0064AE">
        <w:rPr>
          <w:rFonts w:asciiTheme="majorHAnsi" w:hAnsiTheme="majorHAnsi" w:cstheme="majorHAnsi"/>
          <w:sz w:val="20"/>
          <w:szCs w:val="20"/>
        </w:rPr>
        <w:t>(</w:t>
      </w:r>
      <w:r w:rsidR="00B34907" w:rsidRPr="003F195B">
        <w:rPr>
          <w:rFonts w:asciiTheme="majorHAnsi" w:hAnsiTheme="majorHAnsi" w:cstheme="majorHAnsi"/>
          <w:sz w:val="20"/>
          <w:szCs w:val="20"/>
        </w:rPr>
        <w:t>incidence</w:t>
      </w:r>
      <w:r w:rsidR="009212E3" w:rsidRPr="003F195B">
        <w:rPr>
          <w:rFonts w:asciiTheme="majorHAnsi" w:hAnsiTheme="majorHAnsi" w:cstheme="majorHAnsi"/>
          <w:sz w:val="20"/>
          <w:szCs w:val="20"/>
        </w:rPr>
        <w:t>s</w:t>
      </w:r>
      <w:r w:rsidR="00B34907" w:rsidRPr="003F195B">
        <w:rPr>
          <w:rFonts w:asciiTheme="majorHAnsi" w:hAnsiTheme="majorHAnsi" w:cstheme="majorHAnsi"/>
          <w:sz w:val="20"/>
          <w:szCs w:val="20"/>
        </w:rPr>
        <w:t xml:space="preserve"> per 100 patient-years</w:t>
      </w:r>
      <w:r w:rsidR="000064AE">
        <w:rPr>
          <w:rFonts w:asciiTheme="majorHAnsi" w:hAnsiTheme="majorHAnsi" w:cstheme="majorHAnsi"/>
          <w:sz w:val="20"/>
          <w:szCs w:val="20"/>
        </w:rPr>
        <w:t>)</w:t>
      </w:r>
      <w:r w:rsidR="00B34907"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0064AE">
        <w:rPr>
          <w:rFonts w:asciiTheme="majorHAnsi" w:hAnsiTheme="majorHAnsi" w:cstheme="majorHAnsi"/>
          <w:sz w:val="20"/>
          <w:szCs w:val="20"/>
        </w:rPr>
        <w:t>[</w:t>
      </w:r>
      <w:r w:rsidR="00B34907" w:rsidRPr="003F195B">
        <w:rPr>
          <w:rFonts w:asciiTheme="majorHAnsi" w:hAnsiTheme="majorHAnsi" w:cstheme="majorHAnsi"/>
          <w:sz w:val="20"/>
          <w:szCs w:val="20"/>
        </w:rPr>
        <w:t xml:space="preserve">95% </w:t>
      </w:r>
      <w:r w:rsidR="00D0061F">
        <w:rPr>
          <w:rFonts w:asciiTheme="majorHAnsi" w:hAnsiTheme="majorHAnsi" w:cstheme="majorHAnsi"/>
          <w:sz w:val="20"/>
          <w:szCs w:val="20"/>
        </w:rPr>
        <w:t>CI</w:t>
      </w:r>
      <w:r w:rsidR="000064AE">
        <w:rPr>
          <w:rFonts w:asciiTheme="majorHAnsi" w:hAnsiTheme="majorHAnsi" w:cstheme="majorHAnsi"/>
          <w:sz w:val="20"/>
          <w:szCs w:val="20"/>
        </w:rPr>
        <w:t>]</w:t>
      </w:r>
      <w:r w:rsidR="003B7885" w:rsidRPr="003F195B">
        <w:rPr>
          <w:rFonts w:asciiTheme="majorHAnsi" w:hAnsiTheme="majorHAnsi" w:cstheme="majorHAnsi"/>
          <w:sz w:val="20"/>
          <w:szCs w:val="20"/>
        </w:rPr>
        <w:t>.</w:t>
      </w:r>
    </w:p>
    <w:p w14:paraId="2856EBCE" w14:textId="77777777" w:rsidR="004A38F3" w:rsidRDefault="003B7885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>Abbreviations:</w:t>
      </w:r>
      <w:r w:rsidR="00B34907"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C64167" w:rsidRPr="003F195B">
        <w:rPr>
          <w:rFonts w:asciiTheme="majorHAnsi" w:hAnsiTheme="majorHAnsi" w:cstheme="majorHAnsi"/>
          <w:sz w:val="20"/>
          <w:szCs w:val="20"/>
        </w:rPr>
        <w:t>ALC</w:t>
      </w:r>
      <w:r w:rsidRPr="003F195B">
        <w:rPr>
          <w:rFonts w:asciiTheme="majorHAnsi" w:hAnsiTheme="majorHAnsi" w:cstheme="majorHAnsi"/>
          <w:sz w:val="20"/>
          <w:szCs w:val="20"/>
        </w:rPr>
        <w:t xml:space="preserve"> =</w:t>
      </w:r>
      <w:r w:rsidR="00C64167" w:rsidRPr="003F195B">
        <w:rPr>
          <w:rFonts w:asciiTheme="majorHAnsi" w:hAnsiTheme="majorHAnsi" w:cstheme="majorHAnsi"/>
          <w:sz w:val="20"/>
          <w:szCs w:val="20"/>
        </w:rPr>
        <w:t xml:space="preserve"> absolute lymphocyte count; ANC</w:t>
      </w:r>
      <w:r w:rsidRPr="003F195B">
        <w:rPr>
          <w:rFonts w:asciiTheme="majorHAnsi" w:hAnsiTheme="majorHAnsi" w:cstheme="majorHAnsi"/>
          <w:sz w:val="20"/>
          <w:szCs w:val="20"/>
        </w:rPr>
        <w:t xml:space="preserve"> =</w:t>
      </w:r>
      <w:r w:rsidR="00C64167" w:rsidRPr="003F195B">
        <w:rPr>
          <w:rFonts w:asciiTheme="majorHAnsi" w:hAnsiTheme="majorHAnsi" w:cstheme="majorHAnsi"/>
          <w:sz w:val="20"/>
          <w:szCs w:val="20"/>
        </w:rPr>
        <w:t xml:space="preserve"> absolute neutrophil count; WB</w:t>
      </w:r>
      <w:r w:rsidR="00C85F39" w:rsidRPr="003F195B">
        <w:rPr>
          <w:rFonts w:asciiTheme="majorHAnsi" w:hAnsiTheme="majorHAnsi" w:cstheme="majorHAnsi"/>
          <w:sz w:val="20"/>
          <w:szCs w:val="20"/>
        </w:rPr>
        <w:t>C</w:t>
      </w:r>
      <w:r w:rsidR="00C64167" w:rsidRPr="003F195B">
        <w:rPr>
          <w:rFonts w:asciiTheme="majorHAnsi" w:hAnsiTheme="majorHAnsi" w:cstheme="majorHAnsi"/>
          <w:sz w:val="20"/>
          <w:szCs w:val="20"/>
        </w:rPr>
        <w:t>C</w:t>
      </w:r>
      <w:r w:rsidRPr="003F195B">
        <w:rPr>
          <w:rFonts w:asciiTheme="majorHAnsi" w:hAnsiTheme="majorHAnsi" w:cstheme="majorHAnsi"/>
          <w:sz w:val="20"/>
          <w:szCs w:val="20"/>
        </w:rPr>
        <w:t xml:space="preserve"> =</w:t>
      </w:r>
      <w:r w:rsidR="00C64167" w:rsidRPr="003F195B">
        <w:rPr>
          <w:rFonts w:asciiTheme="majorHAnsi" w:hAnsiTheme="majorHAnsi" w:cstheme="majorHAnsi"/>
          <w:sz w:val="20"/>
          <w:szCs w:val="20"/>
        </w:rPr>
        <w:t xml:space="preserve"> white blood cell count</w:t>
      </w:r>
      <w:r w:rsidRPr="003F195B">
        <w:rPr>
          <w:rFonts w:asciiTheme="majorHAnsi" w:hAnsiTheme="majorHAnsi" w:cstheme="majorHAnsi"/>
          <w:sz w:val="20"/>
          <w:szCs w:val="20"/>
        </w:rPr>
        <w:t>.</w:t>
      </w:r>
    </w:p>
    <w:p w14:paraId="091AFFAC" w14:textId="4E7FF9B0" w:rsidR="00396837" w:rsidRPr="0093778F" w:rsidRDefault="004A38F3" w:rsidP="004A38F3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 xml:space="preserve">Table e-2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Incidences of all infections, respiratory tract infections, and herpes infections</w:t>
      </w:r>
      <w:r w:rsidR="0097793C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per 100 patient-years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among subjects initially receiving fingolimod 1.25 mg who switched to fingolimod 0.5 mg based on nadir absolute lymphocyte count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49"/>
        <w:gridCol w:w="2174"/>
        <w:gridCol w:w="2175"/>
        <w:gridCol w:w="2174"/>
        <w:gridCol w:w="2175"/>
        <w:gridCol w:w="2174"/>
        <w:gridCol w:w="2175"/>
      </w:tblGrid>
      <w:tr w:rsidR="0097793C" w:rsidRPr="0093778F" w14:paraId="32193CE3" w14:textId="77777777" w:rsidTr="00393CBF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74E62AF9" w14:textId="795BC5BA" w:rsidR="0097793C" w:rsidRPr="0093778F" w:rsidRDefault="0097793C" w:rsidP="000064A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04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D0B83E6" w14:textId="7A694C96" w:rsidR="0097793C" w:rsidRPr="0093778F" w:rsidRDefault="00C71B8A" w:rsidP="0000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Nadir absolute </w:t>
            </w:r>
            <w:r w:rsidR="0097793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lymphocyte count (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7793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ingolimod 1.25 mg/0.5 mg)</w:t>
            </w:r>
          </w:p>
        </w:tc>
      </w:tr>
      <w:tr w:rsidR="0097793C" w:rsidRPr="0093778F" w14:paraId="363CD936" w14:textId="77777777" w:rsidTr="00393CB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D41AE21" w14:textId="77777777" w:rsidR="0097793C" w:rsidRPr="0093778F" w:rsidRDefault="0097793C" w:rsidP="000064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1DD6A" w14:textId="2090ED74" w:rsidR="0097793C" w:rsidRPr="0093778F" w:rsidRDefault="009779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&lt;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25)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7F28A" w14:textId="51A261AC" w:rsidR="0097793C" w:rsidRPr="0093778F" w:rsidRDefault="009779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52)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07978" w14:textId="0C44931B" w:rsidR="0097793C" w:rsidRPr="0093778F" w:rsidRDefault="009779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23)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0A232" w14:textId="5B1C593E" w:rsidR="0097793C" w:rsidRPr="0093778F" w:rsidRDefault="009779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0.5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15)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B3B71" w14:textId="1C6014D6" w:rsidR="0097793C" w:rsidRPr="0093778F" w:rsidRDefault="009779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0.5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0.7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3)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451D0" w14:textId="4220B723" w:rsidR="0097793C" w:rsidRPr="0093778F" w:rsidRDefault="0097793C" w:rsidP="0000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&gt;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0.7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76550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3)</w:t>
            </w:r>
          </w:p>
        </w:tc>
      </w:tr>
      <w:tr w:rsidR="0097793C" w:rsidRPr="0093778F" w14:paraId="2AA08E62" w14:textId="77777777" w:rsidTr="000242D8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12873CEA" w14:textId="6DEFB67F" w:rsidR="0097793C" w:rsidRPr="0093778F" w:rsidRDefault="0097793C" w:rsidP="009779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All infections</w:t>
            </w:r>
          </w:p>
        </w:tc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361434C9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20 (52.7)</w:t>
            </w:r>
          </w:p>
          <w:p w14:paraId="69388AA3" w14:textId="6CA7F179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[32.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81.3]</w: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63E91DDA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36 (43.7)</w:t>
            </w:r>
          </w:p>
          <w:p w14:paraId="392B80CF" w14:textId="2C9FB307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[30.6; 60.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59A2D2FF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20 (84.2)</w:t>
            </w:r>
          </w:p>
          <w:p w14:paraId="54F946C3" w14:textId="05A3DBEE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[51.4; 130.1]</w: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2037B99B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11 (35.3)</w:t>
            </w:r>
          </w:p>
          <w:p w14:paraId="7A1C7E34" w14:textId="75456097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[17.6; 63.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13853ECB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(42.9)</w:t>
            </w:r>
          </w:p>
          <w:p w14:paraId="32228927" w14:textId="01976BC8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[8.8; 125.2]</w: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6237F3B7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(40.9)</w:t>
            </w:r>
          </w:p>
          <w:p w14:paraId="71F4652C" w14:textId="290E92ED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5.0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147.8]</w:t>
            </w:r>
          </w:p>
        </w:tc>
      </w:tr>
      <w:tr w:rsidR="0097793C" w:rsidRPr="0093778F" w14:paraId="1D835375" w14:textId="77777777" w:rsidTr="000242D8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C830B82" w14:textId="20390AB1" w:rsidR="0097793C" w:rsidRPr="0093778F" w:rsidRDefault="0097793C" w:rsidP="009779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Upper respiratory tract infection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BB6E823" w14:textId="4CFF075F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(4.9)</w:t>
            </w:r>
          </w:p>
          <w:p w14:paraId="6ECAAC4A" w14:textId="13F0F4B4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[1.3; 12.5]</w:t>
            </w:r>
          </w:p>
          <w:p w14:paraId="7A5D661F" w14:textId="314769E9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30F2155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(5.7)</w:t>
            </w:r>
          </w:p>
          <w:p w14:paraId="6C23A2AD" w14:textId="74FE900C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[2.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10.7]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7CCB68D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6 (8.4)</w:t>
            </w:r>
          </w:p>
          <w:p w14:paraId="2E24CAF3" w14:textId="59D371CE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[3.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18.3]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0F720FF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(1.7)</w:t>
            </w:r>
          </w:p>
          <w:p w14:paraId="548A88BE" w14:textId="6C38BC6F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[0.0; 9.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1ACD144" w14:textId="614BEB2E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DE4FB4A" w14:textId="388A2F15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97793C" w:rsidRPr="0093778F" w14:paraId="34DD9CCD" w14:textId="77777777" w:rsidTr="0093778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22564C7" w14:textId="475BF926" w:rsidR="0097793C" w:rsidRPr="0093778F" w:rsidRDefault="0097793C" w:rsidP="009779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Viral upper respiratory tract infection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65A93F8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11 (17.6)</w:t>
            </w:r>
          </w:p>
          <w:p w14:paraId="7F9805C0" w14:textId="77BC0012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[8.8; 31.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6C54295" w14:textId="77777777" w:rsidR="0097793C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13 (8.1)</w:t>
            </w:r>
          </w:p>
          <w:p w14:paraId="06218054" w14:textId="0F4A3E5D" w:rsidR="001B4D84" w:rsidRPr="0093778F" w:rsidRDefault="001B4D84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[4.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0325BF" w:rsidRPr="0093778F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3FF79B0" w14:textId="77777777" w:rsidR="0097793C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(14.6)</w:t>
            </w:r>
          </w:p>
          <w:p w14:paraId="4E44C771" w14:textId="7A128301" w:rsidR="000325BF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[6.7; 27.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9C42D7E" w14:textId="77777777" w:rsidR="0097793C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(1.7)</w:t>
            </w:r>
          </w:p>
          <w:p w14:paraId="3FA42B58" w14:textId="2220BD2F" w:rsidR="000325BF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[0.0;6.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B66227E" w14:textId="77777777" w:rsidR="0097793C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(8.4)</w:t>
            </w:r>
          </w:p>
          <w:p w14:paraId="181F9B06" w14:textId="5D48D528" w:rsidR="000325BF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[0.2; 46.7]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F8AF6AC" w14:textId="6FD3A499" w:rsidR="0097793C" w:rsidRPr="0093778F" w:rsidRDefault="000325BF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97793C" w14:paraId="45C4880A" w14:textId="77777777" w:rsidTr="0093778F"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34D529DC" w14:textId="2E720045" w:rsidR="0097793C" w:rsidRPr="0093778F" w:rsidRDefault="0097793C" w:rsidP="009779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Oral herpes infection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70B3AF0A" w14:textId="3779A822" w:rsidR="0097793C" w:rsidRPr="0093778F" w:rsidRDefault="003B1E07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7919C6BC" w14:textId="77777777" w:rsidR="0097793C" w:rsidRPr="0093778F" w:rsidRDefault="003B1E07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(0.5)</w:t>
            </w:r>
          </w:p>
          <w:p w14:paraId="384F15D5" w14:textId="2C51193A" w:rsidR="003B1E07" w:rsidRPr="0093778F" w:rsidRDefault="003B1E07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 xml:space="preserve">[0.0; </w:t>
            </w:r>
            <w:r w:rsidR="008E7196" w:rsidRPr="0093778F"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4102FEC6" w14:textId="3E41950C" w:rsidR="0097793C" w:rsidRPr="0093778F" w:rsidRDefault="008E7196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(2.3)</w:t>
            </w:r>
          </w:p>
          <w:p w14:paraId="4D056851" w14:textId="7C30452D" w:rsidR="008E7196" w:rsidRPr="0093778F" w:rsidRDefault="008E7196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[0.3, 8.5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2D103269" w14:textId="74FFB211" w:rsidR="0097793C" w:rsidRPr="0093778F" w:rsidRDefault="008E7196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(1.7)</w:t>
            </w:r>
          </w:p>
          <w:p w14:paraId="637FC065" w14:textId="3CAE2718" w:rsidR="008E7196" w:rsidRPr="0093778F" w:rsidRDefault="008E7196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[0.0, 9.7]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3704BBC8" w14:textId="72ED81ED" w:rsidR="0097793C" w:rsidRPr="0093778F" w:rsidRDefault="003B1E07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4BA4C05F" w14:textId="1C9E5012" w:rsidR="0097793C" w:rsidRPr="0093778F" w:rsidRDefault="003B1E07" w:rsidP="009779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29599A23" w14:textId="52C1294C" w:rsidR="00396837" w:rsidRDefault="0097793C">
      <w:pPr>
        <w:spacing w:after="200"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sz w:val="20"/>
          <w:szCs w:val="20"/>
        </w:rPr>
        <w:t>Dat</w:t>
      </w:r>
      <w:r w:rsidR="0076550C">
        <w:rPr>
          <w:rFonts w:asciiTheme="majorHAnsi" w:hAnsiTheme="majorHAnsi" w:cstheme="majorHAnsi"/>
          <w:sz w:val="20"/>
          <w:szCs w:val="20"/>
        </w:rPr>
        <w:t>a</w:t>
      </w:r>
      <w:r w:rsidRPr="003F195B">
        <w:rPr>
          <w:rFonts w:asciiTheme="majorHAnsi" w:hAnsiTheme="majorHAnsi" w:cstheme="majorHAnsi"/>
          <w:sz w:val="20"/>
          <w:szCs w:val="20"/>
        </w:rPr>
        <w:t xml:space="preserve"> are reported as numbers </w:t>
      </w:r>
      <w:r w:rsidR="0076550C">
        <w:rPr>
          <w:rFonts w:asciiTheme="majorHAnsi" w:hAnsiTheme="majorHAnsi" w:cstheme="majorHAnsi"/>
          <w:sz w:val="20"/>
          <w:szCs w:val="20"/>
        </w:rPr>
        <w:t>(incidences</w:t>
      </w:r>
      <w:r w:rsidR="0076550C"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Pr="003F195B">
        <w:rPr>
          <w:rFonts w:asciiTheme="majorHAnsi" w:hAnsiTheme="majorHAnsi" w:cstheme="majorHAnsi"/>
          <w:sz w:val="20"/>
          <w:szCs w:val="20"/>
        </w:rPr>
        <w:t>per 100 patient-years</w:t>
      </w:r>
      <w:r w:rsidR="000064AE">
        <w:rPr>
          <w:rFonts w:asciiTheme="majorHAnsi" w:hAnsiTheme="majorHAnsi" w:cstheme="majorHAnsi"/>
          <w:sz w:val="20"/>
          <w:szCs w:val="20"/>
        </w:rPr>
        <w:t>)</w:t>
      </w:r>
      <w:r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76550C">
        <w:rPr>
          <w:rFonts w:asciiTheme="majorHAnsi" w:hAnsiTheme="majorHAnsi" w:cstheme="majorHAnsi"/>
          <w:sz w:val="20"/>
          <w:szCs w:val="20"/>
        </w:rPr>
        <w:t>[</w:t>
      </w:r>
      <w:r w:rsidRPr="003F195B">
        <w:rPr>
          <w:rFonts w:asciiTheme="majorHAnsi" w:hAnsiTheme="majorHAnsi" w:cstheme="majorHAnsi"/>
          <w:sz w:val="20"/>
          <w:szCs w:val="20"/>
        </w:rPr>
        <w:t xml:space="preserve">95% </w:t>
      </w:r>
      <w:r>
        <w:rPr>
          <w:rFonts w:asciiTheme="majorHAnsi" w:hAnsiTheme="majorHAnsi" w:cstheme="majorHAnsi"/>
          <w:sz w:val="20"/>
          <w:szCs w:val="20"/>
        </w:rPr>
        <w:t>CI</w:t>
      </w:r>
      <w:r w:rsidR="0076550C">
        <w:rPr>
          <w:rFonts w:asciiTheme="majorHAnsi" w:hAnsiTheme="majorHAnsi" w:cstheme="majorHAnsi"/>
          <w:sz w:val="20"/>
          <w:szCs w:val="20"/>
        </w:rPr>
        <w:t>]</w:t>
      </w:r>
      <w:r w:rsidRPr="003F195B">
        <w:rPr>
          <w:rFonts w:asciiTheme="majorHAnsi" w:hAnsiTheme="majorHAnsi" w:cstheme="majorHAnsi"/>
          <w:sz w:val="20"/>
          <w:szCs w:val="20"/>
        </w:rPr>
        <w:t>.</w:t>
      </w:r>
      <w:r w:rsidR="001B4D8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27E766" w14:textId="77777777" w:rsidR="001B4D84" w:rsidRDefault="001B4D84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br w:type="page"/>
      </w:r>
    </w:p>
    <w:p w14:paraId="6D7AFB0B" w14:textId="38384BC1" w:rsidR="00396837" w:rsidRPr="0093778F" w:rsidRDefault="00396837" w:rsidP="0039683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 xml:space="preserve">Table e-3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Incidence</w:t>
      </w:r>
      <w:r w:rsidR="00D100FD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s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of all infections, respiratory tract infections, and herpes infections</w:t>
      </w:r>
      <w:r w:rsidR="0097793C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per 100 patient-years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among subjects initially receiving fingolimod 1.25 mg who switched to fingolimod 0.5 mg</w:t>
      </w:r>
      <w:r w:rsidR="00D64151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based on mean absolute lymphocyte count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49"/>
        <w:gridCol w:w="2174"/>
        <w:gridCol w:w="2175"/>
        <w:gridCol w:w="2174"/>
        <w:gridCol w:w="2175"/>
        <w:gridCol w:w="2174"/>
        <w:gridCol w:w="2175"/>
      </w:tblGrid>
      <w:tr w:rsidR="0097793C" w:rsidRPr="0093778F" w14:paraId="307C924A" w14:textId="77777777" w:rsidTr="00393CBF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8CE2C" w14:textId="77777777" w:rsidR="0097793C" w:rsidRPr="0093778F" w:rsidRDefault="0097793C" w:rsidP="001B4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A27FB" w14:textId="7B82950D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Mean </w:t>
            </w:r>
            <w:r w:rsidR="00C71B8A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absolute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lymphocyte count (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ingolimod 1.25 mg/0.5 mg)</w:t>
            </w:r>
          </w:p>
        </w:tc>
      </w:tr>
      <w:tr w:rsidR="0097793C" w:rsidRPr="0093778F" w14:paraId="3444E765" w14:textId="77777777" w:rsidTr="00393CB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604ED03" w14:textId="77777777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5548B" w14:textId="0427E14B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&lt;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0)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94B23" w14:textId="1503F714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17)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45442" w14:textId="7CC92C49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33)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139F4" w14:textId="514C8529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0.5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29)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8EE2E" w14:textId="533937C0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0.5</w:t>
            </w:r>
            <w:r w:rsidRPr="009377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0.7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29)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61874" w14:textId="45A2A1AF" w:rsidR="0097793C" w:rsidRPr="0093778F" w:rsidRDefault="0097793C" w:rsidP="001B4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&gt;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0.7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13)</w:t>
            </w:r>
          </w:p>
        </w:tc>
      </w:tr>
      <w:tr w:rsidR="00FF4A8E" w:rsidRPr="0093778F" w14:paraId="59C8C76C" w14:textId="77777777" w:rsidTr="00856959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24007438" w14:textId="790810AA" w:rsidR="00FF4A8E" w:rsidRPr="0093778F" w:rsidRDefault="00FF4A8E" w:rsidP="001B4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All infections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75E96" w14:textId="33C42F70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08D4F" w14:textId="77777777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15 (74.6)</w:t>
            </w:r>
          </w:p>
          <w:p w14:paraId="3E747CF4" w14:textId="105F25AC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[41.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123.11]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90953" w14:textId="77777777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20 (32.4)</w:t>
            </w:r>
          </w:p>
          <w:p w14:paraId="15EA7C07" w14:textId="63C49E6A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[19.8; 50.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E0130" w14:textId="7402C81E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25 (87.8)</w:t>
            </w:r>
          </w:p>
          <w:p w14:paraId="5FA4D4C9" w14:textId="08FE3648" w:rsidR="00FF4A8E" w:rsidRPr="0093778F" w:rsidRDefault="00FF4A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[56.8; 129.6]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823B" w14:textId="77777777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23 (49.8)</w:t>
            </w:r>
          </w:p>
          <w:p w14:paraId="5183FE5B" w14:textId="774A40AB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[31.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74.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06AE2" w14:textId="77777777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(29.4)</w:t>
            </w:r>
          </w:p>
          <w:p w14:paraId="4FC1D302" w14:textId="6A5FF0A9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[13.4; 55.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FF4A8E" w:rsidRPr="0093778F" w14:paraId="18AF77EF" w14:textId="77777777" w:rsidTr="001B4D84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6974FF5" w14:textId="45744670" w:rsidR="00FF4A8E" w:rsidRPr="0093778F" w:rsidRDefault="00FF4A8E" w:rsidP="001B4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Upper respiratory tract infection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5E315AF" w14:textId="085CA08D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9F269A2" w14:textId="0D77378E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(1.8)</w:t>
            </w:r>
          </w:p>
          <w:p w14:paraId="23C3D6CF" w14:textId="0CE90FAE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10.0]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3FC3876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5 (4.9)</w:t>
            </w:r>
          </w:p>
          <w:p w14:paraId="2B147CF8" w14:textId="1BE4FB4E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[1.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11.3]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59834BA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10 (13.2)</w:t>
            </w:r>
          </w:p>
          <w:p w14:paraId="4C0B11A8" w14:textId="4BD4BB98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[6.3; 24.3]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C32AB1E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(3.6)</w:t>
            </w:r>
          </w:p>
          <w:p w14:paraId="5FB13285" w14:textId="5FD3CBE9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9.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BEC0603" w14:textId="191B217B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FF4A8E" w:rsidRPr="0093778F" w14:paraId="20E6D020" w14:textId="77777777" w:rsidTr="001B4D84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E98D34F" w14:textId="18BF1A1F" w:rsidR="00FF4A8E" w:rsidRPr="0093778F" w:rsidRDefault="00FF4A8E" w:rsidP="001B4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Viral upper respiratory tract infection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7EF3C1D" w14:textId="6487F1ED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0B7289A" w14:textId="77777777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7 (18.3)</w:t>
            </w:r>
          </w:p>
          <w:p w14:paraId="5FE20A23" w14:textId="23DD2526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[7.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;37.8]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88C3CC1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(9.8)</w:t>
            </w:r>
          </w:p>
          <w:p w14:paraId="7DABC63D" w14:textId="370A338C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[4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18.6]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34E3CF7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(10.3)</w:t>
            </w:r>
          </w:p>
          <w:p w14:paraId="41E11715" w14:textId="48B226C4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[4.7; 19.6]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8EEBD95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(9.0)</w:t>
            </w:r>
          </w:p>
          <w:p w14:paraId="733F6375" w14:textId="33333260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[4.1; 17.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72B312B" w14:textId="77777777" w:rsidR="00FF4A8E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(2.0)</w:t>
            </w:r>
          </w:p>
          <w:p w14:paraId="61D76FBF" w14:textId="48EC705D" w:rsidR="000B6A2D" w:rsidRPr="0093778F" w:rsidRDefault="000B6A2D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</w:t>
            </w:r>
            <w:r w:rsidR="000C5201" w:rsidRPr="0093778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; 11.1]</w:t>
            </w:r>
          </w:p>
        </w:tc>
      </w:tr>
      <w:tr w:rsidR="00FF4A8E" w14:paraId="3CA01BA9" w14:textId="77777777" w:rsidTr="001B4D84"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51CB1804" w14:textId="7659CC28" w:rsidR="00FF4A8E" w:rsidRPr="0093778F" w:rsidRDefault="00FF4A8E" w:rsidP="001B4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Oral herpes infection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77653AB9" w14:textId="4E58ED7C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018AD348" w14:textId="4E6B7C66" w:rsidR="00FF4A8E" w:rsidRPr="0093778F" w:rsidRDefault="008E7196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4C5DF44F" w14:textId="0C903BC9" w:rsidR="00FF4A8E" w:rsidRPr="0093778F" w:rsidRDefault="008E7196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(0.9)</w:t>
            </w:r>
          </w:p>
          <w:p w14:paraId="45D81F3D" w14:textId="5616C9EF" w:rsidR="008E7196" w:rsidRPr="0093778F" w:rsidRDefault="008E7196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[0.0, 5.1]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0A70878B" w14:textId="1452429F" w:rsidR="00FF4A8E" w:rsidRPr="0093778F" w:rsidRDefault="008E7196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(1.9)</w:t>
            </w:r>
          </w:p>
          <w:p w14:paraId="0F3335D7" w14:textId="3A88A069" w:rsidR="008E7196" w:rsidRPr="0093778F" w:rsidRDefault="008E7196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[0.2, 6.9]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044BB2C7" w14:textId="32D294DF" w:rsidR="00FF4A8E" w:rsidRPr="0093778F" w:rsidRDefault="000C5201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(0.8)</w:t>
            </w:r>
          </w:p>
          <w:p w14:paraId="3AA52D68" w14:textId="1DAA898F" w:rsidR="000C5201" w:rsidRPr="0093778F" w:rsidRDefault="000C5201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0.0, 4.7]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6DCBC060" w14:textId="275E0C4F" w:rsidR="00FF4A8E" w:rsidRPr="0093778F" w:rsidRDefault="00FF4A8E" w:rsidP="001B4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53CB0F99" w14:textId="36F22518" w:rsidR="001B4D84" w:rsidRDefault="0097793C" w:rsidP="00393CBF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sz w:val="20"/>
          <w:szCs w:val="20"/>
        </w:rPr>
        <w:t>Dat</w:t>
      </w:r>
      <w:r w:rsidR="0007184C">
        <w:rPr>
          <w:rFonts w:asciiTheme="majorHAnsi" w:hAnsiTheme="majorHAnsi" w:cstheme="majorHAnsi"/>
          <w:sz w:val="20"/>
          <w:szCs w:val="20"/>
        </w:rPr>
        <w:t>a</w:t>
      </w:r>
      <w:r w:rsidRPr="003F195B">
        <w:rPr>
          <w:rFonts w:asciiTheme="majorHAnsi" w:hAnsiTheme="majorHAnsi" w:cstheme="majorHAnsi"/>
          <w:sz w:val="20"/>
          <w:szCs w:val="20"/>
        </w:rPr>
        <w:t xml:space="preserve"> are reported as numbers </w:t>
      </w:r>
      <w:r w:rsidR="0007184C">
        <w:rPr>
          <w:rFonts w:asciiTheme="majorHAnsi" w:hAnsiTheme="majorHAnsi" w:cstheme="majorHAnsi"/>
          <w:sz w:val="20"/>
          <w:szCs w:val="20"/>
        </w:rPr>
        <w:t>(</w:t>
      </w:r>
      <w:r w:rsidRPr="003F195B">
        <w:rPr>
          <w:rFonts w:asciiTheme="majorHAnsi" w:hAnsiTheme="majorHAnsi" w:cstheme="majorHAnsi"/>
          <w:sz w:val="20"/>
          <w:szCs w:val="20"/>
        </w:rPr>
        <w:t>incidences per 100 patient-years</w:t>
      </w:r>
      <w:r w:rsidR="000064AE">
        <w:rPr>
          <w:rFonts w:asciiTheme="majorHAnsi" w:hAnsiTheme="majorHAnsi" w:cstheme="majorHAnsi"/>
          <w:sz w:val="20"/>
          <w:szCs w:val="20"/>
        </w:rPr>
        <w:t>)</w:t>
      </w:r>
      <w:r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07184C">
        <w:rPr>
          <w:rFonts w:asciiTheme="majorHAnsi" w:hAnsiTheme="majorHAnsi" w:cstheme="majorHAnsi"/>
          <w:sz w:val="20"/>
          <w:szCs w:val="20"/>
        </w:rPr>
        <w:t>[</w:t>
      </w:r>
      <w:r w:rsidRPr="003F195B">
        <w:rPr>
          <w:rFonts w:asciiTheme="majorHAnsi" w:hAnsiTheme="majorHAnsi" w:cstheme="majorHAnsi"/>
          <w:sz w:val="20"/>
          <w:szCs w:val="20"/>
        </w:rPr>
        <w:t xml:space="preserve">95% </w:t>
      </w:r>
      <w:r>
        <w:rPr>
          <w:rFonts w:asciiTheme="majorHAnsi" w:hAnsiTheme="majorHAnsi" w:cstheme="majorHAnsi"/>
          <w:sz w:val="20"/>
          <w:szCs w:val="20"/>
        </w:rPr>
        <w:t>CI</w:t>
      </w:r>
      <w:r w:rsidR="0007184C">
        <w:rPr>
          <w:rFonts w:asciiTheme="majorHAnsi" w:hAnsiTheme="majorHAnsi" w:cstheme="majorHAnsi"/>
          <w:sz w:val="20"/>
          <w:szCs w:val="20"/>
        </w:rPr>
        <w:t>]</w:t>
      </w:r>
      <w:r w:rsidRPr="003F195B">
        <w:rPr>
          <w:rFonts w:asciiTheme="majorHAnsi" w:hAnsiTheme="majorHAnsi" w:cstheme="majorHAnsi"/>
          <w:sz w:val="20"/>
          <w:szCs w:val="20"/>
        </w:rPr>
        <w:t>.</w:t>
      </w:r>
      <w:r w:rsidR="001B4D84">
        <w:rPr>
          <w:rFonts w:asciiTheme="majorHAnsi" w:hAnsiTheme="majorHAnsi" w:cstheme="majorHAnsi"/>
          <w:b/>
          <w:sz w:val="20"/>
          <w:szCs w:val="20"/>
          <w:lang w:val="en-US"/>
        </w:rPr>
        <w:br w:type="page"/>
      </w:r>
    </w:p>
    <w:p w14:paraId="1D3D0D13" w14:textId="6E847704" w:rsidR="00396837" w:rsidRPr="0093778F" w:rsidRDefault="00396837" w:rsidP="00396837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>Table e-4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Correlation of </w:t>
      </w:r>
      <w:r w:rsidR="00C71B8A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mean 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>absolute lymphocyte count with occurrence of skin malignancies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394"/>
        <w:gridCol w:w="1705"/>
        <w:gridCol w:w="1697"/>
        <w:gridCol w:w="1701"/>
        <w:gridCol w:w="1701"/>
        <w:gridCol w:w="1418"/>
        <w:gridCol w:w="1559"/>
        <w:gridCol w:w="1224"/>
      </w:tblGrid>
      <w:tr w:rsidR="002A27F9" w:rsidRPr="0093778F" w14:paraId="7D5C4630" w14:textId="77777777" w:rsidTr="00393CBF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42D7EF53" w14:textId="0285CA9C" w:rsidR="002A27F9" w:rsidRPr="0093778F" w:rsidRDefault="002A27F9" w:rsidP="000B6A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EDA9" w14:textId="61BA81AF" w:rsidR="002A27F9" w:rsidRPr="0093778F" w:rsidRDefault="002A27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Mean lymphocyte count (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F7C59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ingolimod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0.5 mg)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132E8" w14:textId="34EDDF81" w:rsidR="002A27F9" w:rsidRPr="0093778F" w:rsidRDefault="002A27F9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 </w:t>
            </w:r>
            <w:r w:rsidR="009F7C59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fingolimod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0.5 mg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14:paraId="086A9ED7" w14:textId="7AEF40EB" w:rsidR="002A27F9" w:rsidRPr="0093778F" w:rsidRDefault="002A27F9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Placebo</w:t>
            </w:r>
          </w:p>
        </w:tc>
      </w:tr>
      <w:tr w:rsidR="0007184C" w:rsidRPr="0093778F" w14:paraId="46A6229D" w14:textId="77777777" w:rsidTr="0007184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7FDA675" w14:textId="77777777" w:rsidR="002A27F9" w:rsidRPr="0093778F" w:rsidRDefault="002A27F9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7BCA2" w14:textId="752B28DF" w:rsidR="002A27F9" w:rsidRPr="0093778F" w:rsidRDefault="002A27F9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&lt;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2)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C5C6F" w14:textId="120A990F" w:rsidR="002A27F9" w:rsidRPr="0093778F" w:rsidRDefault="006B45EA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0.2–0.3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44)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2D008" w14:textId="4C69B9EA" w:rsidR="002A27F9" w:rsidRPr="0093778F" w:rsidRDefault="006C36D7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0.3–0.4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79)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CE94" w14:textId="2D9AA5FA" w:rsidR="002A27F9" w:rsidRPr="0093778F" w:rsidRDefault="006C36D7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0.4–0.5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58)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8A710" w14:textId="0833B176" w:rsidR="002A27F9" w:rsidRPr="0093778F" w:rsidRDefault="006C36D7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</w:t>
            </w:r>
            <w:r w:rsidR="00FB3B18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–0.</w:t>
            </w:r>
            <w:r w:rsidR="00FB3B18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89)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DB321" w14:textId="1FA243C6" w:rsidR="002A27F9" w:rsidRPr="0093778F" w:rsidRDefault="004579C2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&gt;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C36D7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07184C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×</w:t>
            </w:r>
            <w:r w:rsidR="006C36D7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6C36D7"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="006C36D7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="00E12103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64)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DDA2C" w14:textId="6C358D58" w:rsidR="002A27F9" w:rsidRPr="0093778F" w:rsidRDefault="00E12103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336)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79403" w14:textId="03B709F7" w:rsidR="002A27F9" w:rsidRPr="0093778F" w:rsidRDefault="00E12103" w:rsidP="000B6A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487)</w:t>
            </w:r>
          </w:p>
        </w:tc>
      </w:tr>
      <w:tr w:rsidR="0007184C" w:rsidRPr="0093778F" w14:paraId="5926D679" w14:textId="77777777" w:rsidTr="0007184C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79153C9F" w14:textId="130219D1" w:rsidR="002A27F9" w:rsidRPr="0093778F" w:rsidRDefault="002A27F9" w:rsidP="000B6A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Basal cell carcinoma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3A06A" w14:textId="453F73EF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D7B3" w14:textId="0AADE2D9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(2.3)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8DC06" w14:textId="45709A74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(3.8)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D9E88" w14:textId="249B7BA2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(5.2)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7A4C4" w14:textId="187BA44E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(3.4)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8D97B" w14:textId="23898FEC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(6.3)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C1B33" w14:textId="2D3B90BE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14 (4.2)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264C535D" w14:textId="575BD0B1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(1.8)</w:t>
            </w:r>
          </w:p>
        </w:tc>
      </w:tr>
      <w:tr w:rsidR="0007184C" w:rsidRPr="0093778F" w14:paraId="3BF0ACE4" w14:textId="77777777" w:rsidTr="0007184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1FEC8EF" w14:textId="5B29E28E" w:rsidR="002A27F9" w:rsidRPr="0093778F" w:rsidRDefault="002A27F9" w:rsidP="000B6A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Malignant melanoma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66F3EA8" w14:textId="2E4F7ACE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4C397F5" w14:textId="4BE44558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EA9858A" w14:textId="0BE227EA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502C7" w14:textId="7BE2ABA6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8920A" w14:textId="15FFB5C2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76C50" w14:textId="6F630867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D31B5F" w14:textId="6E9B0549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2CDCAFA" w14:textId="786203D8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07184C" w:rsidRPr="0093778F" w14:paraId="0B7A0F0D" w14:textId="77777777" w:rsidTr="0007184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B257907" w14:textId="16A8E2F1" w:rsidR="002A27F9" w:rsidRPr="0093778F" w:rsidRDefault="002A27F9" w:rsidP="000B6A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Squamous cell carcinoma of the skin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7A0BEFD" w14:textId="3A2708A7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CCBA14A" w14:textId="24B83BB1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(2.3)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AF76241" w14:textId="7E21F254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8157AB" w14:textId="41DFE92E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0CFEEF" w14:textId="6A586CCD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CD90F" w14:textId="48968958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40042A" w14:textId="40E6F7B3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6 (1.8)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3ECB8CA" w14:textId="2E94E61E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(0.2)</w:t>
            </w:r>
          </w:p>
        </w:tc>
      </w:tr>
      <w:tr w:rsidR="0007184C" w:rsidRPr="00AF2A32" w14:paraId="44F9D217" w14:textId="77777777" w:rsidTr="0007184C"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0C0B44BF" w14:textId="1C674440" w:rsidR="002A27F9" w:rsidRPr="0093778F" w:rsidRDefault="002A27F9" w:rsidP="000B6A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Any of the above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27590B0F" w14:textId="0683C404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1E0A16B8" w14:textId="7401FEC6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(4.5)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04164346" w14:textId="724DD535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(3.8)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51F9145" w14:textId="40CD0726" w:rsidR="002A27F9" w:rsidRPr="0093778F" w:rsidRDefault="00C60364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(5.2)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714F0CB" w14:textId="5A786F8C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6 (6.7)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9663E5D" w14:textId="63CECAA4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(6.3)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2734C79" w14:textId="26B6A447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18 (5.4)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4C49C43A" w14:textId="7EB70CB8" w:rsidR="002A27F9" w:rsidRPr="0093778F" w:rsidRDefault="009F7C59" w:rsidP="000B6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10 (2.1)</w:t>
            </w:r>
          </w:p>
        </w:tc>
      </w:tr>
    </w:tbl>
    <w:p w14:paraId="6BBC0EAC" w14:textId="38B3DA9F" w:rsidR="00FA7719" w:rsidRPr="003F195B" w:rsidRDefault="00342139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>Dat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3F195B">
        <w:rPr>
          <w:rFonts w:asciiTheme="majorHAnsi" w:hAnsiTheme="majorHAnsi" w:cstheme="majorHAnsi"/>
          <w:sz w:val="20"/>
          <w:szCs w:val="20"/>
        </w:rPr>
        <w:t xml:space="preserve"> are reported as numbers </w:t>
      </w:r>
      <w:r>
        <w:rPr>
          <w:rFonts w:asciiTheme="majorHAnsi" w:hAnsiTheme="majorHAnsi" w:cstheme="majorHAnsi"/>
          <w:sz w:val="20"/>
          <w:szCs w:val="20"/>
        </w:rPr>
        <w:t>(%).</w:t>
      </w:r>
      <w:r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FA7719" w:rsidRPr="003F195B">
        <w:rPr>
          <w:rFonts w:asciiTheme="majorHAnsi" w:hAnsiTheme="majorHAnsi" w:cstheme="majorHAnsi"/>
          <w:sz w:val="20"/>
          <w:szCs w:val="20"/>
        </w:rPr>
        <w:br w:type="page"/>
      </w:r>
    </w:p>
    <w:p w14:paraId="2FC61C2D" w14:textId="3EF78BB6" w:rsidR="00C71B8A" w:rsidRPr="0093778F" w:rsidRDefault="00C71B8A" w:rsidP="00C71B8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>Table e-5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Correlation of nadir absolute lymphocyte count with occurrence of skin malignancies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394"/>
        <w:gridCol w:w="1705"/>
        <w:gridCol w:w="1697"/>
        <w:gridCol w:w="1701"/>
        <w:gridCol w:w="1701"/>
        <w:gridCol w:w="1418"/>
        <w:gridCol w:w="1559"/>
        <w:gridCol w:w="1224"/>
      </w:tblGrid>
      <w:tr w:rsidR="00C71B8A" w:rsidRPr="0093778F" w14:paraId="09469C11" w14:textId="77777777" w:rsidTr="00E116B7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5E33A76A" w14:textId="77777777" w:rsidR="00C71B8A" w:rsidRPr="0093778F" w:rsidRDefault="00C71B8A" w:rsidP="00E116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A68C4" w14:textId="69417BEE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Nadir absolute lymphocyte count (fingolimod 0.5 mg)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308B" w14:textId="77777777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All fingolimod 0.5 mg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14:paraId="1F8D42C1" w14:textId="77777777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Placebo</w:t>
            </w:r>
          </w:p>
        </w:tc>
      </w:tr>
      <w:tr w:rsidR="00C71B8A" w:rsidRPr="0093778F" w14:paraId="6FDD31F9" w14:textId="77777777" w:rsidTr="00E116B7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4DDE342" w14:textId="77777777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445D2" w14:textId="03C0176F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&lt; 0.2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59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8A64" w14:textId="508066C1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0.2–0.3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108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4F6F9" w14:textId="2914F601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0.3–0.4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65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35D5D" w14:textId="1CEA3BBA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0.4–0.5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18762" w14:textId="243FD680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0.5–0.7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40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3A933" w14:textId="4A5F207D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&gt; 0.7 ×10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/L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(n = </w:t>
            </w:r>
            <w:r w:rsidR="00DA6782"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EC0E6" w14:textId="77777777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336)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1A4F" w14:textId="77777777" w:rsidR="00C71B8A" w:rsidRPr="0093778F" w:rsidRDefault="00C71B8A" w:rsidP="00E116B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(n = 487)</w:t>
            </w:r>
          </w:p>
        </w:tc>
      </w:tr>
      <w:tr w:rsidR="00C71B8A" w:rsidRPr="0093778F" w14:paraId="596112B4" w14:textId="77777777" w:rsidTr="00E116B7"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13D2FF2B" w14:textId="77777777" w:rsidR="00C71B8A" w:rsidRPr="0093778F" w:rsidRDefault="00C71B8A" w:rsidP="00E116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Basal cell carcinoma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3C2B4" w14:textId="4D4E423D" w:rsidR="00C71B8A" w:rsidRPr="0093778F" w:rsidRDefault="00DA6782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(1.7)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14210" w14:textId="2B199C00" w:rsidR="00C71B8A" w:rsidRPr="0093778F" w:rsidRDefault="00DA6782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6 (5.6)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5560" w14:textId="35A773F2" w:rsidR="00C71B8A" w:rsidRPr="0093778F" w:rsidRDefault="00DA6782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81D7E" w14:textId="7C81ABB1" w:rsidR="00C71B8A" w:rsidRPr="0093778F" w:rsidRDefault="00DA6782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(3.6)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0278B" w14:textId="47C65FA1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(10.0)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BEE4" w14:textId="204F8246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CD791" w14:textId="11730D6A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14 (4.2)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11E6ABFF" w14:textId="24089F9A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9 (1.8)</w:t>
            </w:r>
          </w:p>
        </w:tc>
      </w:tr>
      <w:tr w:rsidR="00C71B8A" w:rsidRPr="0093778F" w14:paraId="2A0ABC71" w14:textId="77777777" w:rsidTr="00E116B7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C175EA6" w14:textId="77777777" w:rsidR="00C71B8A" w:rsidRPr="0093778F" w:rsidRDefault="00C71B8A" w:rsidP="00E116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Malignant melanoma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970FA6" w14:textId="0DF4E36D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9402B32" w14:textId="06C596A1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DC5F979" w14:textId="653063A5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08EC5" w14:textId="4D258985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71E00E" w14:textId="3419910E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AD2D4F" w14:textId="254588A7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B020B1" w14:textId="39F6102F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7E2FCD9" w14:textId="2FD7A255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C71B8A" w:rsidRPr="0093778F" w14:paraId="3583B47C" w14:textId="77777777" w:rsidTr="00E116B7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8EC09F2" w14:textId="77777777" w:rsidR="00C71B8A" w:rsidRPr="0093778F" w:rsidRDefault="00C71B8A" w:rsidP="00E116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Squamous cell carcinoma of the skin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2469362" w14:textId="69C589ED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(1.7)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890E3DA" w14:textId="2D0F3C38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 (2.8)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820673" w14:textId="65C84AD7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3E44F6" w14:textId="2B928A39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893BD" w14:textId="6B39271D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78BBF6" w14:textId="7798449C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CFA169" w14:textId="72BF8DD9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6 (1.8)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701934" w14:textId="6B91452F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(0.2)</w:t>
            </w:r>
          </w:p>
        </w:tc>
      </w:tr>
      <w:tr w:rsidR="00C71B8A" w:rsidRPr="00AF2A32" w14:paraId="14F4A31C" w14:textId="77777777" w:rsidTr="00E116B7"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18AFD5A9" w14:textId="77777777" w:rsidR="00C71B8A" w:rsidRPr="0093778F" w:rsidRDefault="00C71B8A" w:rsidP="00E116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Any of the above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2CA47B5A" w14:textId="4A65B87B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2 (3.4)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D1D060F" w14:textId="35404D26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8 (7.4)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1D7E498A" w14:textId="3138CCFD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 (1.5)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0D7EFAE" w14:textId="2A600693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3. (5.5)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71290B2" w14:textId="68209D07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4 (10.0)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E45D621" w14:textId="278CFBA0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34852E" w14:textId="23AE888B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18 (5.4)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21E623B5" w14:textId="0747E381" w:rsidR="00C71B8A" w:rsidRPr="0093778F" w:rsidRDefault="000037C5" w:rsidP="00E116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778F">
              <w:rPr>
                <w:rFonts w:asciiTheme="majorHAnsi" w:hAnsiTheme="majorHAnsi" w:cstheme="majorHAnsi"/>
                <w:sz w:val="20"/>
                <w:szCs w:val="20"/>
              </w:rPr>
              <w:t>10 (2.1)</w:t>
            </w:r>
          </w:p>
        </w:tc>
      </w:tr>
    </w:tbl>
    <w:p w14:paraId="75CB7B9D" w14:textId="06CAA642" w:rsidR="00C71B8A" w:rsidRDefault="00C71B8A" w:rsidP="0093778F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>Dat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3F195B">
        <w:rPr>
          <w:rFonts w:asciiTheme="majorHAnsi" w:hAnsiTheme="majorHAnsi" w:cstheme="majorHAnsi"/>
          <w:sz w:val="20"/>
          <w:szCs w:val="20"/>
        </w:rPr>
        <w:t xml:space="preserve"> are reported as numbers </w:t>
      </w:r>
      <w:r>
        <w:rPr>
          <w:rFonts w:asciiTheme="majorHAnsi" w:hAnsiTheme="majorHAnsi" w:cstheme="majorHAnsi"/>
          <w:sz w:val="20"/>
          <w:szCs w:val="20"/>
        </w:rPr>
        <w:t>(%).</w:t>
      </w:r>
      <w:r w:rsidRPr="003F195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6213F4" w14:textId="77777777" w:rsidR="00FA7719" w:rsidRPr="003F195B" w:rsidRDefault="00FA7719">
      <w:pPr>
        <w:rPr>
          <w:rFonts w:asciiTheme="majorHAnsi" w:hAnsiTheme="majorHAnsi" w:cstheme="majorHAnsi"/>
          <w:sz w:val="20"/>
          <w:szCs w:val="20"/>
        </w:rPr>
        <w:sectPr w:rsidR="00FA7719" w:rsidRPr="003F195B" w:rsidSect="004055B9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4572717" w14:textId="52283FC5" w:rsidR="00D539DE" w:rsidRPr="003F195B" w:rsidRDefault="00D539DE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b/>
          <w:sz w:val="20"/>
          <w:szCs w:val="20"/>
        </w:rPr>
        <w:lastRenderedPageBreak/>
        <w:t>Figure e</w:t>
      </w:r>
      <w:r w:rsidR="009908CA" w:rsidRPr="003F195B">
        <w:rPr>
          <w:rFonts w:asciiTheme="majorHAnsi" w:hAnsiTheme="majorHAnsi" w:cstheme="majorHAnsi"/>
          <w:b/>
          <w:sz w:val="20"/>
          <w:szCs w:val="20"/>
        </w:rPr>
        <w:t>-</w:t>
      </w:r>
      <w:r w:rsidRPr="003F195B">
        <w:rPr>
          <w:rFonts w:asciiTheme="majorHAnsi" w:hAnsiTheme="majorHAnsi" w:cstheme="majorHAnsi"/>
          <w:b/>
          <w:sz w:val="20"/>
          <w:szCs w:val="20"/>
        </w:rPr>
        <w:t>1</w:t>
      </w:r>
      <w:r w:rsidRPr="003F195B">
        <w:rPr>
          <w:rFonts w:asciiTheme="majorHAnsi" w:hAnsiTheme="majorHAnsi" w:cstheme="majorHAnsi"/>
          <w:sz w:val="20"/>
          <w:szCs w:val="20"/>
        </w:rPr>
        <w:t xml:space="preserve"> Recovery of </w:t>
      </w:r>
      <w:r w:rsidR="001F16D9" w:rsidRPr="003F195B">
        <w:rPr>
          <w:rFonts w:asciiTheme="majorHAnsi" w:hAnsiTheme="majorHAnsi" w:cstheme="majorHAnsi"/>
          <w:sz w:val="20"/>
          <w:szCs w:val="20"/>
        </w:rPr>
        <w:t xml:space="preserve">absolute lymphocyte count </w:t>
      </w:r>
      <w:r w:rsidRPr="003F195B">
        <w:rPr>
          <w:rFonts w:asciiTheme="majorHAnsi" w:hAnsiTheme="majorHAnsi" w:cstheme="majorHAnsi"/>
          <w:sz w:val="20"/>
          <w:szCs w:val="20"/>
        </w:rPr>
        <w:t xml:space="preserve">following </w:t>
      </w:r>
      <w:r w:rsidR="003C6F7D" w:rsidRPr="003F195B">
        <w:rPr>
          <w:rFonts w:asciiTheme="majorHAnsi" w:hAnsiTheme="majorHAnsi" w:cstheme="majorHAnsi"/>
          <w:sz w:val="20"/>
          <w:szCs w:val="20"/>
        </w:rPr>
        <w:t xml:space="preserve">fingolimod </w:t>
      </w:r>
      <w:r w:rsidRPr="003F195B">
        <w:rPr>
          <w:rFonts w:asciiTheme="majorHAnsi" w:hAnsiTheme="majorHAnsi" w:cstheme="majorHAnsi"/>
          <w:sz w:val="20"/>
          <w:szCs w:val="20"/>
        </w:rPr>
        <w:t>treatment discontinuation</w:t>
      </w:r>
      <w:r w:rsidR="00966182" w:rsidRPr="003F195B">
        <w:rPr>
          <w:rFonts w:asciiTheme="majorHAnsi" w:hAnsiTheme="majorHAnsi" w:cstheme="majorHAnsi"/>
          <w:sz w:val="20"/>
          <w:szCs w:val="20"/>
        </w:rPr>
        <w:t xml:space="preserve"> (overall fingolimod </w:t>
      </w:r>
      <w:r w:rsidR="00D60805" w:rsidRPr="003F195B">
        <w:rPr>
          <w:rFonts w:asciiTheme="majorHAnsi" w:hAnsiTheme="majorHAnsi" w:cstheme="majorHAnsi"/>
          <w:sz w:val="20"/>
          <w:szCs w:val="20"/>
        </w:rPr>
        <w:t>0.5 mg</w:t>
      </w:r>
      <w:r w:rsidR="00CD00FE">
        <w:rPr>
          <w:rFonts w:asciiTheme="majorHAnsi" w:hAnsiTheme="majorHAnsi" w:cstheme="majorHAnsi"/>
          <w:sz w:val="20"/>
          <w:szCs w:val="20"/>
        </w:rPr>
        <w:t>/day</w:t>
      </w:r>
      <w:r w:rsidR="00D60805" w:rsidRPr="003F195B">
        <w:rPr>
          <w:rFonts w:asciiTheme="majorHAnsi" w:hAnsiTheme="majorHAnsi" w:cstheme="majorHAnsi"/>
          <w:sz w:val="20"/>
          <w:szCs w:val="20"/>
        </w:rPr>
        <w:t xml:space="preserve"> </w:t>
      </w:r>
      <w:r w:rsidR="00966182" w:rsidRPr="003F195B">
        <w:rPr>
          <w:rFonts w:asciiTheme="majorHAnsi" w:hAnsiTheme="majorHAnsi" w:cstheme="majorHAnsi"/>
          <w:sz w:val="20"/>
          <w:szCs w:val="20"/>
        </w:rPr>
        <w:t>group)</w:t>
      </w:r>
    </w:p>
    <w:p w14:paraId="079C29EC" w14:textId="0765EE1D" w:rsidR="00AB7879" w:rsidRPr="003F195B" w:rsidRDefault="00EA77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5FFF0D0" wp14:editId="1E107B02">
            <wp:extent cx="5892546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55" cy="3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702F" w14:textId="5C6E2720" w:rsidR="00D539DE" w:rsidRPr="003F195B" w:rsidRDefault="00D539DE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>Non-uniform time axis; +, mean; middle bar, median; box, Q1</w:t>
      </w:r>
      <w:r w:rsidR="009908CA" w:rsidRPr="003F195B">
        <w:rPr>
          <w:rFonts w:asciiTheme="majorHAnsi" w:hAnsiTheme="majorHAnsi" w:cstheme="majorHAnsi"/>
          <w:sz w:val="20"/>
          <w:szCs w:val="20"/>
        </w:rPr>
        <w:sym w:font="Symbol" w:char="F02D"/>
      </w:r>
      <w:r w:rsidRPr="003F195B">
        <w:rPr>
          <w:rFonts w:asciiTheme="majorHAnsi" w:hAnsiTheme="majorHAnsi" w:cstheme="majorHAnsi"/>
          <w:sz w:val="20"/>
          <w:szCs w:val="20"/>
        </w:rPr>
        <w:t>Q3 interval; whisker, range.</w:t>
      </w:r>
    </w:p>
    <w:p w14:paraId="16056252" w14:textId="2F0ECBC3" w:rsidR="00D539DE" w:rsidRPr="003F195B" w:rsidRDefault="0090414B">
      <w:pPr>
        <w:rPr>
          <w:rFonts w:asciiTheme="majorHAnsi" w:hAnsiTheme="majorHAnsi" w:cstheme="majorHAnsi"/>
          <w:sz w:val="20"/>
          <w:szCs w:val="20"/>
        </w:rPr>
      </w:pPr>
      <w:r w:rsidRPr="003F195B">
        <w:rPr>
          <w:rFonts w:asciiTheme="majorHAnsi" w:hAnsiTheme="majorHAnsi" w:cstheme="majorHAnsi"/>
          <w:sz w:val="20"/>
          <w:szCs w:val="20"/>
        </w:rPr>
        <w:t xml:space="preserve">Abbreviation: </w:t>
      </w:r>
      <w:r w:rsidR="00D539DE" w:rsidRPr="003F195B">
        <w:rPr>
          <w:rFonts w:asciiTheme="majorHAnsi" w:hAnsiTheme="majorHAnsi" w:cstheme="majorHAnsi"/>
          <w:sz w:val="20"/>
          <w:szCs w:val="20"/>
        </w:rPr>
        <w:t>ALC</w:t>
      </w:r>
      <w:r w:rsidRPr="003F195B">
        <w:rPr>
          <w:rFonts w:asciiTheme="majorHAnsi" w:hAnsiTheme="majorHAnsi" w:cstheme="majorHAnsi"/>
          <w:sz w:val="20"/>
          <w:szCs w:val="20"/>
        </w:rPr>
        <w:t xml:space="preserve"> =</w:t>
      </w:r>
      <w:r w:rsidR="00D539DE" w:rsidRPr="003F195B">
        <w:rPr>
          <w:rFonts w:asciiTheme="majorHAnsi" w:hAnsiTheme="majorHAnsi" w:cstheme="majorHAnsi"/>
          <w:sz w:val="20"/>
          <w:szCs w:val="20"/>
        </w:rPr>
        <w:t xml:space="preserve"> absolute lymphocyte count</w:t>
      </w:r>
      <w:r w:rsidR="002F3B39">
        <w:rPr>
          <w:rFonts w:asciiTheme="majorHAnsi" w:hAnsiTheme="majorHAnsi" w:cstheme="majorHAnsi"/>
          <w:sz w:val="20"/>
          <w:szCs w:val="20"/>
        </w:rPr>
        <w:t>.</w:t>
      </w:r>
    </w:p>
    <w:p w14:paraId="150B0296" w14:textId="77777777" w:rsidR="00D539DE" w:rsidRPr="003F195B" w:rsidRDefault="00D539DE" w:rsidP="006D2224">
      <w:pPr>
        <w:spacing w:after="200"/>
        <w:rPr>
          <w:rFonts w:asciiTheme="majorHAnsi" w:hAnsiTheme="majorHAnsi" w:cstheme="majorHAnsi"/>
          <w:b/>
          <w:sz w:val="20"/>
          <w:szCs w:val="20"/>
        </w:rPr>
      </w:pPr>
      <w:r w:rsidRPr="003F195B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356BA80" w14:textId="5A2B9E50" w:rsidR="00100FE1" w:rsidRPr="003F195B" w:rsidRDefault="001F3513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E6EAFFD" wp14:editId="75BC551E">
            <wp:simplePos x="0" y="0"/>
            <wp:positionH relativeFrom="column">
              <wp:posOffset>-95885</wp:posOffset>
            </wp:positionH>
            <wp:positionV relativeFrom="paragraph">
              <wp:posOffset>676275</wp:posOffset>
            </wp:positionV>
            <wp:extent cx="5991225" cy="6069965"/>
            <wp:effectExtent l="0" t="0" r="9525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BB" w:rsidRPr="003F195B">
        <w:rPr>
          <w:rFonts w:asciiTheme="majorHAnsi" w:hAnsiTheme="majorHAnsi" w:cstheme="majorHAnsi"/>
          <w:b/>
          <w:sz w:val="20"/>
          <w:szCs w:val="20"/>
        </w:rPr>
        <w:t>F</w:t>
      </w:r>
      <w:r w:rsidR="00FA7719" w:rsidRPr="003F195B">
        <w:rPr>
          <w:rFonts w:asciiTheme="majorHAnsi" w:hAnsiTheme="majorHAnsi" w:cstheme="majorHAnsi"/>
          <w:b/>
          <w:sz w:val="20"/>
          <w:szCs w:val="20"/>
        </w:rPr>
        <w:t xml:space="preserve">igure </w:t>
      </w:r>
      <w:r w:rsidR="001A7171" w:rsidRPr="003F195B">
        <w:rPr>
          <w:rFonts w:asciiTheme="majorHAnsi" w:hAnsiTheme="majorHAnsi" w:cstheme="majorHAnsi"/>
          <w:b/>
          <w:sz w:val="20"/>
          <w:szCs w:val="20"/>
        </w:rPr>
        <w:t>e</w:t>
      </w:r>
      <w:r w:rsidR="009908CA" w:rsidRPr="003F195B">
        <w:rPr>
          <w:rFonts w:asciiTheme="majorHAnsi" w:hAnsiTheme="majorHAnsi" w:cstheme="majorHAnsi"/>
          <w:b/>
          <w:sz w:val="20"/>
          <w:szCs w:val="20"/>
        </w:rPr>
        <w:t>-</w:t>
      </w:r>
      <w:r w:rsidR="0010127C" w:rsidRPr="003F195B">
        <w:rPr>
          <w:rFonts w:asciiTheme="majorHAnsi" w:hAnsiTheme="majorHAnsi" w:cstheme="majorHAnsi"/>
          <w:b/>
          <w:sz w:val="20"/>
          <w:szCs w:val="20"/>
        </w:rPr>
        <w:t>2</w:t>
      </w:r>
      <w:r w:rsidR="00FA7719" w:rsidRPr="003F195B">
        <w:rPr>
          <w:rFonts w:asciiTheme="majorHAnsi" w:hAnsiTheme="majorHAnsi" w:cstheme="majorHAnsi"/>
          <w:sz w:val="20"/>
          <w:szCs w:val="20"/>
        </w:rPr>
        <w:t xml:space="preserve"> Incidence</w:t>
      </w:r>
      <w:r w:rsidR="009908CA" w:rsidRPr="003F195B">
        <w:rPr>
          <w:rFonts w:asciiTheme="majorHAnsi" w:hAnsiTheme="majorHAnsi" w:cstheme="majorHAnsi"/>
          <w:sz w:val="20"/>
          <w:szCs w:val="20"/>
        </w:rPr>
        <w:t>s</w:t>
      </w:r>
      <w:r w:rsidR="00FA7719" w:rsidRPr="003F195B">
        <w:rPr>
          <w:rFonts w:asciiTheme="majorHAnsi" w:hAnsiTheme="majorHAnsi" w:cstheme="majorHAnsi"/>
          <w:sz w:val="20"/>
          <w:szCs w:val="20"/>
        </w:rPr>
        <w:t xml:space="preserve"> of all infections, respiratory tract infections</w:t>
      </w:r>
      <w:r w:rsidR="001F16D9" w:rsidRPr="003F195B">
        <w:rPr>
          <w:rFonts w:asciiTheme="majorHAnsi" w:hAnsiTheme="majorHAnsi" w:cstheme="majorHAnsi"/>
          <w:sz w:val="20"/>
          <w:szCs w:val="20"/>
        </w:rPr>
        <w:t>,</w:t>
      </w:r>
      <w:r w:rsidR="00FA7719" w:rsidRPr="003F195B">
        <w:rPr>
          <w:rFonts w:asciiTheme="majorHAnsi" w:hAnsiTheme="majorHAnsi" w:cstheme="majorHAnsi"/>
          <w:sz w:val="20"/>
          <w:szCs w:val="20"/>
        </w:rPr>
        <w:t xml:space="preserve"> and herpes infections</w:t>
      </w:r>
      <w:r w:rsidR="003E621C" w:rsidRPr="003E621C">
        <w:t xml:space="preserve"> </w:t>
      </w:r>
      <w:r w:rsidR="003E621C" w:rsidRPr="003E621C">
        <w:rPr>
          <w:rFonts w:asciiTheme="majorHAnsi" w:hAnsiTheme="majorHAnsi" w:cstheme="majorHAnsi"/>
          <w:sz w:val="20"/>
          <w:szCs w:val="20"/>
        </w:rPr>
        <w:t>in patients receiving fingolimod 1.25 mg/day</w:t>
      </w:r>
    </w:p>
    <w:p w14:paraId="358BF1DB" w14:textId="624DB528" w:rsidR="00950851" w:rsidRPr="003F195B" w:rsidRDefault="00950851">
      <w:pPr>
        <w:rPr>
          <w:rFonts w:asciiTheme="majorHAnsi" w:hAnsiTheme="majorHAnsi" w:cstheme="majorHAnsi"/>
          <w:sz w:val="20"/>
          <w:szCs w:val="20"/>
        </w:rPr>
      </w:pPr>
    </w:p>
    <w:p w14:paraId="4539319E" w14:textId="77777777" w:rsidR="00EA774C" w:rsidRDefault="00E004D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Incidences of all infections, respiratory tract infections, and herpes infections in patients receiving fingolimod 1.25 mg/day stratified by (A) nadir ALC and (B) mean ALC (left-hand </w:t>
      </w:r>
      <w:r w:rsidR="00CD00FE">
        <w:rPr>
          <w:rFonts w:asciiTheme="majorHAnsi" w:hAnsiTheme="majorHAnsi" w:cstheme="majorHAnsi"/>
          <w:sz w:val="20"/>
          <w:szCs w:val="20"/>
          <w:lang w:val="en-US"/>
        </w:rPr>
        <w:t>side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). Right-hand </w:t>
      </w:r>
      <w:r w:rsidR="00CD00FE">
        <w:rPr>
          <w:rFonts w:asciiTheme="majorHAnsi" w:hAnsiTheme="majorHAnsi" w:cstheme="majorHAnsi"/>
          <w:sz w:val="20"/>
          <w:szCs w:val="20"/>
          <w:lang w:val="en-US"/>
        </w:rPr>
        <w:t xml:space="preserve">side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show</w:t>
      </w:r>
      <w:r w:rsidR="00CD00FE">
        <w:rPr>
          <w:rFonts w:asciiTheme="majorHAnsi" w:hAnsiTheme="majorHAnsi" w:cstheme="majorHAnsi"/>
          <w:sz w:val="20"/>
          <w:szCs w:val="20"/>
          <w:lang w:val="en-US"/>
        </w:rPr>
        <w:t>s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the overall incidences in patients receiving fingolimod 1.25 mg/day, fingolimod 0.5 mg/day or placebo.</w:t>
      </w:r>
    </w:p>
    <w:p w14:paraId="3C08CD80" w14:textId="6C66F7B1" w:rsidR="00FC62C5" w:rsidRPr="003F195B" w:rsidRDefault="00FA7719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3F195B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lastRenderedPageBreak/>
        <w:t>a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Include</w:t>
      </w:r>
      <w:r w:rsidR="00FC62C5" w:rsidRPr="003F195B">
        <w:rPr>
          <w:rFonts w:asciiTheme="majorHAnsi" w:hAnsiTheme="majorHAnsi" w:cstheme="majorHAnsi"/>
          <w:sz w:val="20"/>
          <w:szCs w:val="20"/>
          <w:lang w:val="en-US"/>
        </w:rPr>
        <w:t>s</w:t>
      </w:r>
      <w:proofErr w:type="spellEnd"/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viral and other upper and/or lower respiratory tract infections. </w:t>
      </w:r>
      <w:proofErr w:type="spellStart"/>
      <w:r w:rsidRPr="003F195B">
        <w:rPr>
          <w:rFonts w:asciiTheme="majorHAnsi" w:hAnsiTheme="majorHAnsi" w:cstheme="majorHAnsi"/>
          <w:sz w:val="20"/>
          <w:szCs w:val="20"/>
          <w:vertAlign w:val="superscript"/>
          <w:lang w:val="en-US"/>
        </w:rPr>
        <w:t>b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Include</w:t>
      </w:r>
      <w:r w:rsidR="00FC62C5" w:rsidRPr="003F195B">
        <w:rPr>
          <w:rFonts w:asciiTheme="majorHAnsi" w:hAnsiTheme="majorHAnsi" w:cstheme="majorHAnsi"/>
          <w:sz w:val="20"/>
          <w:szCs w:val="20"/>
          <w:lang w:val="en-US"/>
        </w:rPr>
        <w:t>s</w:t>
      </w:r>
      <w:proofErr w:type="spellEnd"/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oral herpes, herpes simplex, </w:t>
      </w:r>
      <w:r w:rsidR="001D5B3C">
        <w:rPr>
          <w:rFonts w:asciiTheme="majorHAnsi" w:hAnsiTheme="majorHAnsi" w:cstheme="majorHAnsi"/>
          <w:sz w:val="20"/>
          <w:szCs w:val="20"/>
          <w:lang w:val="en-US"/>
        </w:rPr>
        <w:t xml:space="preserve">herpes zoster,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herpes zoster meningomyelitis, genital herpes, neurological herpes, ophthalmic herpes simplex, and ophthalmic herpes zoster. </w:t>
      </w:r>
    </w:p>
    <w:p w14:paraId="11FD5825" w14:textId="7C4BC21A" w:rsidR="004A38F3" w:rsidRDefault="00FA7719" w:rsidP="000E440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Error bars represent 95% </w:t>
      </w:r>
      <w:r w:rsidR="00D0061F">
        <w:rPr>
          <w:rFonts w:asciiTheme="majorHAnsi" w:hAnsiTheme="majorHAnsi" w:cstheme="majorHAnsi"/>
          <w:sz w:val="20"/>
          <w:szCs w:val="20"/>
          <w:lang w:val="en-US"/>
        </w:rPr>
        <w:t>CI</w:t>
      </w:r>
      <w:r w:rsidR="002E6FBB" w:rsidRPr="003F195B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br/>
      </w:r>
      <w:r w:rsidR="0090414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Abbreviation: 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>ALC</w:t>
      </w:r>
      <w:r w:rsidR="0090414B"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=</w:t>
      </w:r>
      <w:r w:rsidRPr="003F195B">
        <w:rPr>
          <w:rFonts w:asciiTheme="majorHAnsi" w:hAnsiTheme="majorHAnsi" w:cstheme="majorHAnsi"/>
          <w:sz w:val="20"/>
          <w:szCs w:val="20"/>
          <w:lang w:val="en-US"/>
        </w:rPr>
        <w:t xml:space="preserve"> absolute lymphocyte count.</w:t>
      </w:r>
      <w:r w:rsidR="004A38F3"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p w14:paraId="28DD4683" w14:textId="30E87771" w:rsidR="004A38F3" w:rsidRPr="0093778F" w:rsidRDefault="004A38F3" w:rsidP="00A15A8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>Figure e-3</w:t>
      </w:r>
      <w:r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Cumulative development of infectious complications over tim</w:t>
      </w:r>
      <w:r w:rsidR="00A15A88" w:rsidRPr="0093778F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5B39B1" w:rsidRPr="0093778F">
        <w:rPr>
          <w:rFonts w:asciiTheme="majorHAnsi" w:hAnsiTheme="majorHAnsi" w:cstheme="majorHAnsi"/>
          <w:sz w:val="20"/>
          <w:szCs w:val="20"/>
          <w:lang w:val="en-US"/>
        </w:rPr>
        <w:t xml:space="preserve"> (Kaplan</w:t>
      </w:r>
      <w:r w:rsidR="00662613" w:rsidRPr="0093778F">
        <w:rPr>
          <w:rFonts w:asciiTheme="majorHAnsi" w:hAnsiTheme="majorHAnsi" w:cstheme="majorHAnsi"/>
          <w:sz w:val="20"/>
          <w:szCs w:val="20"/>
          <w:lang w:val="en-US"/>
        </w:rPr>
        <w:sym w:font="Symbol" w:char="F02D"/>
      </w:r>
      <w:r w:rsidR="005B39B1" w:rsidRPr="0093778F">
        <w:rPr>
          <w:rFonts w:asciiTheme="majorHAnsi" w:hAnsiTheme="majorHAnsi" w:cstheme="majorHAnsi"/>
          <w:sz w:val="20"/>
          <w:szCs w:val="20"/>
          <w:lang w:val="en-US"/>
        </w:rPr>
        <w:t>Meier analysis)</w:t>
      </w:r>
    </w:p>
    <w:p w14:paraId="5BA66414" w14:textId="40D3510D" w:rsidR="00557E00" w:rsidRPr="0093778F" w:rsidRDefault="000E4404" w:rsidP="00A15A8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noProof/>
        </w:rPr>
        <w:drawing>
          <wp:inline distT="0" distB="0" distL="0" distR="0" wp14:anchorId="7EF33520" wp14:editId="21CBBA31">
            <wp:extent cx="5731510" cy="2118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2FAD" w14:textId="55C029F8" w:rsidR="00C71B8A" w:rsidRPr="003F195B" w:rsidRDefault="00C71B8A" w:rsidP="00A15A8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3778F">
        <w:rPr>
          <w:rFonts w:asciiTheme="majorHAnsi" w:hAnsiTheme="majorHAnsi" w:cstheme="majorHAnsi"/>
          <w:sz w:val="20"/>
          <w:szCs w:val="20"/>
          <w:lang w:val="en-US"/>
        </w:rPr>
        <w:t>Data are shown as cumulative failure rate for number cumulative events/number of patients at risk in the fingolimod 0.5 mg and placebo group</w:t>
      </w:r>
      <w:bookmarkStart w:id="0" w:name="_GoBack"/>
      <w:bookmarkEnd w:id="0"/>
      <w:r w:rsidRPr="0093778F">
        <w:rPr>
          <w:rFonts w:asciiTheme="majorHAnsi" w:hAnsiTheme="majorHAnsi" w:cstheme="majorHAnsi"/>
          <w:sz w:val="20"/>
          <w:szCs w:val="20"/>
          <w:lang w:val="en-US"/>
        </w:rPr>
        <w:t>s</w:t>
      </w:r>
    </w:p>
    <w:sectPr w:rsidR="00C71B8A" w:rsidRPr="003F195B" w:rsidSect="00950851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AC77" w14:textId="77777777" w:rsidR="000E72AF" w:rsidRDefault="000E72AF" w:rsidP="00AB2B89">
      <w:r>
        <w:separator/>
      </w:r>
    </w:p>
  </w:endnote>
  <w:endnote w:type="continuationSeparator" w:id="0">
    <w:p w14:paraId="75265902" w14:textId="77777777" w:rsidR="000E72AF" w:rsidRDefault="000E72AF" w:rsidP="00AB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1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E7587" w14:textId="20FF92A1" w:rsidR="000064AE" w:rsidRDefault="000064AE" w:rsidP="00DD08BB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BADC0F" w14:textId="5E982EF6" w:rsidR="000064AE" w:rsidRDefault="000064AE" w:rsidP="00AB2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719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D38D" w14:textId="77777777" w:rsidR="000064AE" w:rsidRDefault="000064AE" w:rsidP="00DD08BB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A69C1C2" w14:textId="77777777" w:rsidR="000064AE" w:rsidRDefault="000064AE" w:rsidP="00AB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54D8" w14:textId="77777777" w:rsidR="000E72AF" w:rsidRDefault="000E72AF" w:rsidP="00AB2B89">
      <w:r>
        <w:separator/>
      </w:r>
    </w:p>
  </w:footnote>
  <w:footnote w:type="continuationSeparator" w:id="0">
    <w:p w14:paraId="72636A6D" w14:textId="77777777" w:rsidR="000E72AF" w:rsidRDefault="000E72AF" w:rsidP="00AB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EBBE" w14:textId="77777777" w:rsidR="00482397" w:rsidRDefault="00482397" w:rsidP="0048239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Manuscript ID: NEURIMMINFL/2018/01877</w:t>
    </w:r>
  </w:p>
  <w:p w14:paraId="3C730B19" w14:textId="58372B62" w:rsidR="000064AE" w:rsidRPr="00EC1A48" w:rsidRDefault="000064AE" w:rsidP="00EC1A48">
    <w:pPr>
      <w:pStyle w:val="Header"/>
      <w:spacing w:after="0"/>
      <w:rPr>
        <w:rFonts w:asciiTheme="majorHAnsi" w:hAnsiTheme="majorHAnsi" w:cstheme="majorHAnsi"/>
        <w:sz w:val="20"/>
        <w:szCs w:val="20"/>
      </w:rPr>
    </w:pPr>
    <w:r w:rsidRPr="00EC1A48">
      <w:rPr>
        <w:rFonts w:asciiTheme="majorHAnsi" w:hAnsiTheme="majorHAnsi" w:cstheme="majorHAnsi"/>
        <w:sz w:val="20"/>
        <w:szCs w:val="20"/>
      </w:rPr>
      <w:tab/>
    </w:r>
    <w:r w:rsidRPr="00EC1A48">
      <w:rPr>
        <w:rFonts w:asciiTheme="majorHAnsi" w:hAnsiTheme="majorHAnsi" w:cstheme="majorHAnsi"/>
        <w:sz w:val="20"/>
        <w:szCs w:val="20"/>
      </w:rPr>
      <w:tab/>
      <w:t>Supplementary 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8CC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A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8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B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347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2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D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6D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8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25FFD"/>
    <w:multiLevelType w:val="multilevel"/>
    <w:tmpl w:val="532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C17"/>
    <w:multiLevelType w:val="multilevel"/>
    <w:tmpl w:val="CBFC3770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D542E67"/>
    <w:multiLevelType w:val="hybridMultilevel"/>
    <w:tmpl w:val="A778490C"/>
    <w:lvl w:ilvl="0" w:tplc="2EA49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0162"/>
    <w:multiLevelType w:val="hybridMultilevel"/>
    <w:tmpl w:val="662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7" w15:restartNumberingAfterBreak="0">
    <w:nsid w:val="4A4B61BA"/>
    <w:multiLevelType w:val="hybridMultilevel"/>
    <w:tmpl w:val="EA72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E7474"/>
    <w:multiLevelType w:val="hybridMultilevel"/>
    <w:tmpl w:val="03A08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C3E6E"/>
    <w:multiLevelType w:val="hybridMultilevel"/>
    <w:tmpl w:val="5C14EBD0"/>
    <w:lvl w:ilvl="0" w:tplc="D2E42B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10A8"/>
    <w:multiLevelType w:val="hybridMultilevel"/>
    <w:tmpl w:val="4AB8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736D0"/>
    <w:multiLevelType w:val="hybridMultilevel"/>
    <w:tmpl w:val="9286A332"/>
    <w:lvl w:ilvl="0" w:tplc="3A3C91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21"/>
  </w:num>
  <w:num w:numId="18">
    <w:abstractNumId w:val="19"/>
  </w:num>
  <w:num w:numId="19">
    <w:abstractNumId w:val="23"/>
  </w:num>
  <w:num w:numId="20">
    <w:abstractNumId w:val="15"/>
  </w:num>
  <w:num w:numId="21">
    <w:abstractNumId w:val="20"/>
  </w:num>
  <w:num w:numId="22">
    <w:abstractNumId w:val="18"/>
  </w:num>
  <w:num w:numId="23">
    <w:abstractNumId w:val="17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tDQytzA3MjEzMTdS0lEKTi0uzszPAymwqAUAJMjpu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ur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679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dxreaet505dierpv7xeawbfttrx9a2v5xe&quot;&gt;NFTU227A&lt;record-ids&gt;&lt;item&gt;1&lt;/item&gt;&lt;item&gt;2&lt;/item&gt;&lt;item&gt;3&lt;/item&gt;&lt;item&gt;4&lt;/item&gt;&lt;item&gt;5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75B04"/>
    <w:rsid w:val="0000268E"/>
    <w:rsid w:val="000037C5"/>
    <w:rsid w:val="00003928"/>
    <w:rsid w:val="0000472B"/>
    <w:rsid w:val="000064AE"/>
    <w:rsid w:val="00010EA2"/>
    <w:rsid w:val="0001143A"/>
    <w:rsid w:val="00015B24"/>
    <w:rsid w:val="00022E2E"/>
    <w:rsid w:val="0002332F"/>
    <w:rsid w:val="000242D8"/>
    <w:rsid w:val="00030B83"/>
    <w:rsid w:val="00031BCD"/>
    <w:rsid w:val="000322D8"/>
    <w:rsid w:val="000325BF"/>
    <w:rsid w:val="000414B7"/>
    <w:rsid w:val="0004266B"/>
    <w:rsid w:val="0004424D"/>
    <w:rsid w:val="0004737B"/>
    <w:rsid w:val="00050854"/>
    <w:rsid w:val="000520B2"/>
    <w:rsid w:val="00054F08"/>
    <w:rsid w:val="00057661"/>
    <w:rsid w:val="000636C6"/>
    <w:rsid w:val="00063DA6"/>
    <w:rsid w:val="000666D2"/>
    <w:rsid w:val="00070E24"/>
    <w:rsid w:val="0007184C"/>
    <w:rsid w:val="0007312B"/>
    <w:rsid w:val="00075113"/>
    <w:rsid w:val="00080820"/>
    <w:rsid w:val="00081DE4"/>
    <w:rsid w:val="00084256"/>
    <w:rsid w:val="00084BAB"/>
    <w:rsid w:val="00085F30"/>
    <w:rsid w:val="000871EA"/>
    <w:rsid w:val="000919C1"/>
    <w:rsid w:val="0009692F"/>
    <w:rsid w:val="000A2EA0"/>
    <w:rsid w:val="000A384A"/>
    <w:rsid w:val="000A41EC"/>
    <w:rsid w:val="000A447E"/>
    <w:rsid w:val="000A7D2F"/>
    <w:rsid w:val="000B0FEA"/>
    <w:rsid w:val="000B36D2"/>
    <w:rsid w:val="000B5EEF"/>
    <w:rsid w:val="000B6A2D"/>
    <w:rsid w:val="000B77CA"/>
    <w:rsid w:val="000C1C15"/>
    <w:rsid w:val="000C5201"/>
    <w:rsid w:val="000C6299"/>
    <w:rsid w:val="000D2A23"/>
    <w:rsid w:val="000D538D"/>
    <w:rsid w:val="000D635D"/>
    <w:rsid w:val="000D6818"/>
    <w:rsid w:val="000D6D4D"/>
    <w:rsid w:val="000E2E77"/>
    <w:rsid w:val="000E4404"/>
    <w:rsid w:val="000E6486"/>
    <w:rsid w:val="000E72AF"/>
    <w:rsid w:val="000F0B6D"/>
    <w:rsid w:val="000F2012"/>
    <w:rsid w:val="00100CFB"/>
    <w:rsid w:val="00100FE1"/>
    <w:rsid w:val="0010127C"/>
    <w:rsid w:val="00112338"/>
    <w:rsid w:val="00120684"/>
    <w:rsid w:val="00124162"/>
    <w:rsid w:val="00124812"/>
    <w:rsid w:val="001300D2"/>
    <w:rsid w:val="001349A3"/>
    <w:rsid w:val="00135E30"/>
    <w:rsid w:val="0013651E"/>
    <w:rsid w:val="00136567"/>
    <w:rsid w:val="00140F31"/>
    <w:rsid w:val="00142274"/>
    <w:rsid w:val="001558F3"/>
    <w:rsid w:val="00160BC7"/>
    <w:rsid w:val="0017238A"/>
    <w:rsid w:val="0017406A"/>
    <w:rsid w:val="00177622"/>
    <w:rsid w:val="001840A7"/>
    <w:rsid w:val="00185AB8"/>
    <w:rsid w:val="001863A8"/>
    <w:rsid w:val="00186B38"/>
    <w:rsid w:val="00196268"/>
    <w:rsid w:val="001977F4"/>
    <w:rsid w:val="001A1AA6"/>
    <w:rsid w:val="001A5E0A"/>
    <w:rsid w:val="001A61DB"/>
    <w:rsid w:val="001A656B"/>
    <w:rsid w:val="001A7171"/>
    <w:rsid w:val="001B1FA6"/>
    <w:rsid w:val="001B29B2"/>
    <w:rsid w:val="001B430B"/>
    <w:rsid w:val="001B4D84"/>
    <w:rsid w:val="001B653C"/>
    <w:rsid w:val="001C162A"/>
    <w:rsid w:val="001C1650"/>
    <w:rsid w:val="001C4ED7"/>
    <w:rsid w:val="001C70F2"/>
    <w:rsid w:val="001D05E1"/>
    <w:rsid w:val="001D20CC"/>
    <w:rsid w:val="001D3215"/>
    <w:rsid w:val="001D5B3C"/>
    <w:rsid w:val="001E0811"/>
    <w:rsid w:val="001E5309"/>
    <w:rsid w:val="001E58BE"/>
    <w:rsid w:val="001F03AD"/>
    <w:rsid w:val="001F16D9"/>
    <w:rsid w:val="001F2452"/>
    <w:rsid w:val="001F3513"/>
    <w:rsid w:val="001F35BD"/>
    <w:rsid w:val="001F361F"/>
    <w:rsid w:val="001F4E9A"/>
    <w:rsid w:val="001F5D5E"/>
    <w:rsid w:val="0020152E"/>
    <w:rsid w:val="00206FB9"/>
    <w:rsid w:val="00217E96"/>
    <w:rsid w:val="00220105"/>
    <w:rsid w:val="002204E8"/>
    <w:rsid w:val="00222A79"/>
    <w:rsid w:val="00232277"/>
    <w:rsid w:val="00232ECE"/>
    <w:rsid w:val="002345CE"/>
    <w:rsid w:val="00237C6E"/>
    <w:rsid w:val="00240622"/>
    <w:rsid w:val="00240CE5"/>
    <w:rsid w:val="00242151"/>
    <w:rsid w:val="00242873"/>
    <w:rsid w:val="0024624D"/>
    <w:rsid w:val="002475B1"/>
    <w:rsid w:val="00250889"/>
    <w:rsid w:val="00251493"/>
    <w:rsid w:val="00255362"/>
    <w:rsid w:val="00255A4E"/>
    <w:rsid w:val="00260FC9"/>
    <w:rsid w:val="00261040"/>
    <w:rsid w:val="0026577F"/>
    <w:rsid w:val="002667A7"/>
    <w:rsid w:val="0026681C"/>
    <w:rsid w:val="0026706E"/>
    <w:rsid w:val="00267853"/>
    <w:rsid w:val="00267B9B"/>
    <w:rsid w:val="00271726"/>
    <w:rsid w:val="00271927"/>
    <w:rsid w:val="00272690"/>
    <w:rsid w:val="002734E3"/>
    <w:rsid w:val="002760AD"/>
    <w:rsid w:val="0028651A"/>
    <w:rsid w:val="002871CA"/>
    <w:rsid w:val="00287573"/>
    <w:rsid w:val="0029137D"/>
    <w:rsid w:val="00291E39"/>
    <w:rsid w:val="002944F4"/>
    <w:rsid w:val="00294727"/>
    <w:rsid w:val="0029671B"/>
    <w:rsid w:val="002970F9"/>
    <w:rsid w:val="002A00EC"/>
    <w:rsid w:val="002A2753"/>
    <w:rsid w:val="002A27F9"/>
    <w:rsid w:val="002A71F0"/>
    <w:rsid w:val="002B1F4D"/>
    <w:rsid w:val="002B22A0"/>
    <w:rsid w:val="002B2524"/>
    <w:rsid w:val="002B2DAC"/>
    <w:rsid w:val="002B4281"/>
    <w:rsid w:val="002C2080"/>
    <w:rsid w:val="002C3E1B"/>
    <w:rsid w:val="002C5FFB"/>
    <w:rsid w:val="002C71EA"/>
    <w:rsid w:val="002D047A"/>
    <w:rsid w:val="002D1180"/>
    <w:rsid w:val="002D6E59"/>
    <w:rsid w:val="002E586F"/>
    <w:rsid w:val="002E5EA6"/>
    <w:rsid w:val="002E5ED6"/>
    <w:rsid w:val="002E6FBB"/>
    <w:rsid w:val="002F197F"/>
    <w:rsid w:val="002F2E9F"/>
    <w:rsid w:val="002F33B4"/>
    <w:rsid w:val="002F3B39"/>
    <w:rsid w:val="00302E58"/>
    <w:rsid w:val="00305403"/>
    <w:rsid w:val="0031078B"/>
    <w:rsid w:val="003125E6"/>
    <w:rsid w:val="00313775"/>
    <w:rsid w:val="003150BA"/>
    <w:rsid w:val="00316129"/>
    <w:rsid w:val="00320621"/>
    <w:rsid w:val="00321303"/>
    <w:rsid w:val="003260BE"/>
    <w:rsid w:val="003313D7"/>
    <w:rsid w:val="0033220A"/>
    <w:rsid w:val="00333158"/>
    <w:rsid w:val="003347E4"/>
    <w:rsid w:val="00334BB5"/>
    <w:rsid w:val="003353BF"/>
    <w:rsid w:val="00335461"/>
    <w:rsid w:val="003418E3"/>
    <w:rsid w:val="00341E42"/>
    <w:rsid w:val="00342139"/>
    <w:rsid w:val="00342FF3"/>
    <w:rsid w:val="00350DDC"/>
    <w:rsid w:val="003526F8"/>
    <w:rsid w:val="00357CDD"/>
    <w:rsid w:val="00360359"/>
    <w:rsid w:val="00361053"/>
    <w:rsid w:val="00364CDD"/>
    <w:rsid w:val="00365322"/>
    <w:rsid w:val="003662C2"/>
    <w:rsid w:val="00367622"/>
    <w:rsid w:val="00371E72"/>
    <w:rsid w:val="003742C6"/>
    <w:rsid w:val="00384325"/>
    <w:rsid w:val="00384CE1"/>
    <w:rsid w:val="00387104"/>
    <w:rsid w:val="00387218"/>
    <w:rsid w:val="0038743E"/>
    <w:rsid w:val="003876AF"/>
    <w:rsid w:val="003918C5"/>
    <w:rsid w:val="00393CBF"/>
    <w:rsid w:val="0039541D"/>
    <w:rsid w:val="00396837"/>
    <w:rsid w:val="003A104E"/>
    <w:rsid w:val="003A21BB"/>
    <w:rsid w:val="003A5ECF"/>
    <w:rsid w:val="003B04F3"/>
    <w:rsid w:val="003B06D1"/>
    <w:rsid w:val="003B1E07"/>
    <w:rsid w:val="003B2435"/>
    <w:rsid w:val="003B3E24"/>
    <w:rsid w:val="003B4CCE"/>
    <w:rsid w:val="003B5F6E"/>
    <w:rsid w:val="003B6FE4"/>
    <w:rsid w:val="003B7885"/>
    <w:rsid w:val="003C03B5"/>
    <w:rsid w:val="003C29D5"/>
    <w:rsid w:val="003C326A"/>
    <w:rsid w:val="003C645C"/>
    <w:rsid w:val="003C6F7D"/>
    <w:rsid w:val="003D0D4F"/>
    <w:rsid w:val="003D132B"/>
    <w:rsid w:val="003D2F7A"/>
    <w:rsid w:val="003D65F3"/>
    <w:rsid w:val="003E2F3A"/>
    <w:rsid w:val="003E4B03"/>
    <w:rsid w:val="003E621C"/>
    <w:rsid w:val="003E6D81"/>
    <w:rsid w:val="003F0B81"/>
    <w:rsid w:val="003F195B"/>
    <w:rsid w:val="003F5A15"/>
    <w:rsid w:val="003F5C87"/>
    <w:rsid w:val="0040087C"/>
    <w:rsid w:val="00404BB1"/>
    <w:rsid w:val="004055B9"/>
    <w:rsid w:val="00407A58"/>
    <w:rsid w:val="00412C7F"/>
    <w:rsid w:val="00417087"/>
    <w:rsid w:val="00422A05"/>
    <w:rsid w:val="00431491"/>
    <w:rsid w:val="0043532A"/>
    <w:rsid w:val="004357B9"/>
    <w:rsid w:val="00441276"/>
    <w:rsid w:val="0044245D"/>
    <w:rsid w:val="00456E47"/>
    <w:rsid w:val="0045711D"/>
    <w:rsid w:val="004579C2"/>
    <w:rsid w:val="00464A92"/>
    <w:rsid w:val="00467A45"/>
    <w:rsid w:val="0047063F"/>
    <w:rsid w:val="00471677"/>
    <w:rsid w:val="004746B9"/>
    <w:rsid w:val="00474F44"/>
    <w:rsid w:val="004806F6"/>
    <w:rsid w:val="00480CDD"/>
    <w:rsid w:val="00482397"/>
    <w:rsid w:val="00484B18"/>
    <w:rsid w:val="00494E5C"/>
    <w:rsid w:val="00494E82"/>
    <w:rsid w:val="004957B5"/>
    <w:rsid w:val="0049660F"/>
    <w:rsid w:val="004A1A67"/>
    <w:rsid w:val="004A38F3"/>
    <w:rsid w:val="004A3E37"/>
    <w:rsid w:val="004A4C47"/>
    <w:rsid w:val="004B02E5"/>
    <w:rsid w:val="004B043A"/>
    <w:rsid w:val="004B3E8B"/>
    <w:rsid w:val="004B5FAC"/>
    <w:rsid w:val="004C0C45"/>
    <w:rsid w:val="004C1002"/>
    <w:rsid w:val="004C19B4"/>
    <w:rsid w:val="004C3066"/>
    <w:rsid w:val="004C7469"/>
    <w:rsid w:val="004C74C1"/>
    <w:rsid w:val="004D0787"/>
    <w:rsid w:val="004D21A7"/>
    <w:rsid w:val="004D3EA8"/>
    <w:rsid w:val="004D43C7"/>
    <w:rsid w:val="004D573C"/>
    <w:rsid w:val="004D610B"/>
    <w:rsid w:val="004D65FD"/>
    <w:rsid w:val="004D6B9A"/>
    <w:rsid w:val="004E10A7"/>
    <w:rsid w:val="004E1277"/>
    <w:rsid w:val="004E6A57"/>
    <w:rsid w:val="004E72A0"/>
    <w:rsid w:val="004F6B78"/>
    <w:rsid w:val="005003CB"/>
    <w:rsid w:val="0050302E"/>
    <w:rsid w:val="005060F9"/>
    <w:rsid w:val="0050641D"/>
    <w:rsid w:val="00506573"/>
    <w:rsid w:val="005071A9"/>
    <w:rsid w:val="00510F0D"/>
    <w:rsid w:val="00512D52"/>
    <w:rsid w:val="00512FB7"/>
    <w:rsid w:val="00513746"/>
    <w:rsid w:val="00513C21"/>
    <w:rsid w:val="00514E88"/>
    <w:rsid w:val="00517A35"/>
    <w:rsid w:val="00520D50"/>
    <w:rsid w:val="005221A1"/>
    <w:rsid w:val="00522CB7"/>
    <w:rsid w:val="00523039"/>
    <w:rsid w:val="0052419F"/>
    <w:rsid w:val="00525572"/>
    <w:rsid w:val="00532044"/>
    <w:rsid w:val="00532D3F"/>
    <w:rsid w:val="00534A53"/>
    <w:rsid w:val="005365D2"/>
    <w:rsid w:val="0054652A"/>
    <w:rsid w:val="00551982"/>
    <w:rsid w:val="00553483"/>
    <w:rsid w:val="005557C5"/>
    <w:rsid w:val="00555A68"/>
    <w:rsid w:val="00557D0B"/>
    <w:rsid w:val="00557E00"/>
    <w:rsid w:val="005600A4"/>
    <w:rsid w:val="00562511"/>
    <w:rsid w:val="00564994"/>
    <w:rsid w:val="00565E35"/>
    <w:rsid w:val="005666A6"/>
    <w:rsid w:val="0057284B"/>
    <w:rsid w:val="00572AC7"/>
    <w:rsid w:val="00574CB7"/>
    <w:rsid w:val="0058128D"/>
    <w:rsid w:val="005818D6"/>
    <w:rsid w:val="00582402"/>
    <w:rsid w:val="0058545B"/>
    <w:rsid w:val="00585A42"/>
    <w:rsid w:val="005948CF"/>
    <w:rsid w:val="00595E43"/>
    <w:rsid w:val="00596080"/>
    <w:rsid w:val="005964FE"/>
    <w:rsid w:val="005969C3"/>
    <w:rsid w:val="00597295"/>
    <w:rsid w:val="005A0779"/>
    <w:rsid w:val="005A6A79"/>
    <w:rsid w:val="005A6A7C"/>
    <w:rsid w:val="005A75D1"/>
    <w:rsid w:val="005B2812"/>
    <w:rsid w:val="005B332C"/>
    <w:rsid w:val="005B39B1"/>
    <w:rsid w:val="005B44FC"/>
    <w:rsid w:val="005B58C7"/>
    <w:rsid w:val="005B5DCA"/>
    <w:rsid w:val="005B7769"/>
    <w:rsid w:val="005C2BFF"/>
    <w:rsid w:val="005C3BC5"/>
    <w:rsid w:val="005D206E"/>
    <w:rsid w:val="005D4DB5"/>
    <w:rsid w:val="005E48C5"/>
    <w:rsid w:val="005F015A"/>
    <w:rsid w:val="005F1788"/>
    <w:rsid w:val="005F1978"/>
    <w:rsid w:val="006004FB"/>
    <w:rsid w:val="006009E5"/>
    <w:rsid w:val="00600EE6"/>
    <w:rsid w:val="00605CC5"/>
    <w:rsid w:val="006072F5"/>
    <w:rsid w:val="00610DB7"/>
    <w:rsid w:val="00614227"/>
    <w:rsid w:val="00623958"/>
    <w:rsid w:val="00623C5F"/>
    <w:rsid w:val="0062410D"/>
    <w:rsid w:val="00631F5B"/>
    <w:rsid w:val="00634700"/>
    <w:rsid w:val="00641A71"/>
    <w:rsid w:val="006429EE"/>
    <w:rsid w:val="0064440F"/>
    <w:rsid w:val="0064749C"/>
    <w:rsid w:val="00647CD0"/>
    <w:rsid w:val="0065098E"/>
    <w:rsid w:val="00651389"/>
    <w:rsid w:val="006534B9"/>
    <w:rsid w:val="00662613"/>
    <w:rsid w:val="00664E63"/>
    <w:rsid w:val="00670CD5"/>
    <w:rsid w:val="00670E65"/>
    <w:rsid w:val="006726BF"/>
    <w:rsid w:val="00674905"/>
    <w:rsid w:val="006761C2"/>
    <w:rsid w:val="006769B1"/>
    <w:rsid w:val="00682FDB"/>
    <w:rsid w:val="00691ACC"/>
    <w:rsid w:val="00692306"/>
    <w:rsid w:val="00695396"/>
    <w:rsid w:val="006953DF"/>
    <w:rsid w:val="006A1CF4"/>
    <w:rsid w:val="006A31FB"/>
    <w:rsid w:val="006A52F5"/>
    <w:rsid w:val="006B1DA3"/>
    <w:rsid w:val="006B2D5E"/>
    <w:rsid w:val="006B45EA"/>
    <w:rsid w:val="006B56BF"/>
    <w:rsid w:val="006B5FF6"/>
    <w:rsid w:val="006C027F"/>
    <w:rsid w:val="006C2B43"/>
    <w:rsid w:val="006C36D7"/>
    <w:rsid w:val="006C4399"/>
    <w:rsid w:val="006C73B1"/>
    <w:rsid w:val="006D0F46"/>
    <w:rsid w:val="006D1806"/>
    <w:rsid w:val="006D2224"/>
    <w:rsid w:val="006D752F"/>
    <w:rsid w:val="006E016E"/>
    <w:rsid w:val="006E2304"/>
    <w:rsid w:val="006F3698"/>
    <w:rsid w:val="006F3FF6"/>
    <w:rsid w:val="006F6D50"/>
    <w:rsid w:val="00702427"/>
    <w:rsid w:val="007033C0"/>
    <w:rsid w:val="0070343D"/>
    <w:rsid w:val="007077ED"/>
    <w:rsid w:val="0070786A"/>
    <w:rsid w:val="0071227C"/>
    <w:rsid w:val="007137B5"/>
    <w:rsid w:val="00716722"/>
    <w:rsid w:val="00721324"/>
    <w:rsid w:val="007275E5"/>
    <w:rsid w:val="00731EA6"/>
    <w:rsid w:val="00733F98"/>
    <w:rsid w:val="00734187"/>
    <w:rsid w:val="0073695C"/>
    <w:rsid w:val="00737A67"/>
    <w:rsid w:val="00740FC6"/>
    <w:rsid w:val="00742257"/>
    <w:rsid w:val="0074456A"/>
    <w:rsid w:val="0075227B"/>
    <w:rsid w:val="00755F07"/>
    <w:rsid w:val="0075696E"/>
    <w:rsid w:val="00756DAC"/>
    <w:rsid w:val="0076046E"/>
    <w:rsid w:val="00765078"/>
    <w:rsid w:val="0076550C"/>
    <w:rsid w:val="00766E1F"/>
    <w:rsid w:val="00771243"/>
    <w:rsid w:val="00773A93"/>
    <w:rsid w:val="00776250"/>
    <w:rsid w:val="0077735A"/>
    <w:rsid w:val="00783022"/>
    <w:rsid w:val="00783269"/>
    <w:rsid w:val="00784509"/>
    <w:rsid w:val="00785147"/>
    <w:rsid w:val="00786C29"/>
    <w:rsid w:val="00790D65"/>
    <w:rsid w:val="007A04A9"/>
    <w:rsid w:val="007A1F8A"/>
    <w:rsid w:val="007A234F"/>
    <w:rsid w:val="007A4C8F"/>
    <w:rsid w:val="007A788E"/>
    <w:rsid w:val="007B4271"/>
    <w:rsid w:val="007B6750"/>
    <w:rsid w:val="007B76B0"/>
    <w:rsid w:val="007C0483"/>
    <w:rsid w:val="007C41D4"/>
    <w:rsid w:val="007C4DFA"/>
    <w:rsid w:val="007D07FE"/>
    <w:rsid w:val="007D091D"/>
    <w:rsid w:val="007D094F"/>
    <w:rsid w:val="007D214E"/>
    <w:rsid w:val="007D5E19"/>
    <w:rsid w:val="007F0383"/>
    <w:rsid w:val="007F2D0A"/>
    <w:rsid w:val="007F3675"/>
    <w:rsid w:val="007F3D37"/>
    <w:rsid w:val="007F4D3F"/>
    <w:rsid w:val="007F6C23"/>
    <w:rsid w:val="007F7A4B"/>
    <w:rsid w:val="00800798"/>
    <w:rsid w:val="008045AA"/>
    <w:rsid w:val="0080576A"/>
    <w:rsid w:val="008058EA"/>
    <w:rsid w:val="008100ED"/>
    <w:rsid w:val="00815977"/>
    <w:rsid w:val="00823368"/>
    <w:rsid w:val="00825394"/>
    <w:rsid w:val="00825B1C"/>
    <w:rsid w:val="00826FDA"/>
    <w:rsid w:val="00833BEE"/>
    <w:rsid w:val="00840F70"/>
    <w:rsid w:val="00843B16"/>
    <w:rsid w:val="00847CB1"/>
    <w:rsid w:val="00847E76"/>
    <w:rsid w:val="008552D1"/>
    <w:rsid w:val="00855C53"/>
    <w:rsid w:val="00856959"/>
    <w:rsid w:val="00857AE0"/>
    <w:rsid w:val="00860FF8"/>
    <w:rsid w:val="008612C6"/>
    <w:rsid w:val="008635CC"/>
    <w:rsid w:val="0086368F"/>
    <w:rsid w:val="00865268"/>
    <w:rsid w:val="0086672A"/>
    <w:rsid w:val="00870DB4"/>
    <w:rsid w:val="00872BEF"/>
    <w:rsid w:val="00874620"/>
    <w:rsid w:val="00875E44"/>
    <w:rsid w:val="0087715B"/>
    <w:rsid w:val="0088031F"/>
    <w:rsid w:val="00882736"/>
    <w:rsid w:val="008834FC"/>
    <w:rsid w:val="008868AC"/>
    <w:rsid w:val="008874F1"/>
    <w:rsid w:val="00890432"/>
    <w:rsid w:val="00892491"/>
    <w:rsid w:val="00895107"/>
    <w:rsid w:val="0089598B"/>
    <w:rsid w:val="008A0E8A"/>
    <w:rsid w:val="008A28BA"/>
    <w:rsid w:val="008A5460"/>
    <w:rsid w:val="008B120C"/>
    <w:rsid w:val="008B3D08"/>
    <w:rsid w:val="008B4CBA"/>
    <w:rsid w:val="008B54AF"/>
    <w:rsid w:val="008B653D"/>
    <w:rsid w:val="008B6758"/>
    <w:rsid w:val="008C4676"/>
    <w:rsid w:val="008C782D"/>
    <w:rsid w:val="008C7FC3"/>
    <w:rsid w:val="008D0DB2"/>
    <w:rsid w:val="008D1656"/>
    <w:rsid w:val="008D659C"/>
    <w:rsid w:val="008E076E"/>
    <w:rsid w:val="008E5CCC"/>
    <w:rsid w:val="008E7196"/>
    <w:rsid w:val="008F14FD"/>
    <w:rsid w:val="008F1FF3"/>
    <w:rsid w:val="008F2133"/>
    <w:rsid w:val="008F2FED"/>
    <w:rsid w:val="008F37EF"/>
    <w:rsid w:val="008F6A5B"/>
    <w:rsid w:val="008F6FFC"/>
    <w:rsid w:val="00901783"/>
    <w:rsid w:val="00903FAF"/>
    <w:rsid w:val="0090414B"/>
    <w:rsid w:val="00905C56"/>
    <w:rsid w:val="00906E60"/>
    <w:rsid w:val="00907A37"/>
    <w:rsid w:val="00910180"/>
    <w:rsid w:val="00910544"/>
    <w:rsid w:val="00910CE2"/>
    <w:rsid w:val="00911392"/>
    <w:rsid w:val="009119D1"/>
    <w:rsid w:val="00916868"/>
    <w:rsid w:val="009204F0"/>
    <w:rsid w:val="00921021"/>
    <w:rsid w:val="009212E3"/>
    <w:rsid w:val="0092428F"/>
    <w:rsid w:val="00927963"/>
    <w:rsid w:val="0093196F"/>
    <w:rsid w:val="00931DC4"/>
    <w:rsid w:val="009331CC"/>
    <w:rsid w:val="00935E4A"/>
    <w:rsid w:val="009365E0"/>
    <w:rsid w:val="00937159"/>
    <w:rsid w:val="0093778F"/>
    <w:rsid w:val="00940B72"/>
    <w:rsid w:val="00940F56"/>
    <w:rsid w:val="009456B9"/>
    <w:rsid w:val="00946D4C"/>
    <w:rsid w:val="00950851"/>
    <w:rsid w:val="00953A8B"/>
    <w:rsid w:val="009569ED"/>
    <w:rsid w:val="00961C43"/>
    <w:rsid w:val="00964E99"/>
    <w:rsid w:val="00966182"/>
    <w:rsid w:val="00972F69"/>
    <w:rsid w:val="009758D5"/>
    <w:rsid w:val="00975FE8"/>
    <w:rsid w:val="0097793C"/>
    <w:rsid w:val="00983757"/>
    <w:rsid w:val="0098674F"/>
    <w:rsid w:val="009875E5"/>
    <w:rsid w:val="009908CA"/>
    <w:rsid w:val="00991A94"/>
    <w:rsid w:val="00992DE9"/>
    <w:rsid w:val="00994B97"/>
    <w:rsid w:val="00996033"/>
    <w:rsid w:val="009A17CF"/>
    <w:rsid w:val="009A3A63"/>
    <w:rsid w:val="009A4AE2"/>
    <w:rsid w:val="009B1F5A"/>
    <w:rsid w:val="009B2179"/>
    <w:rsid w:val="009B2196"/>
    <w:rsid w:val="009B721B"/>
    <w:rsid w:val="009C021A"/>
    <w:rsid w:val="009C139B"/>
    <w:rsid w:val="009C27E1"/>
    <w:rsid w:val="009C3C4A"/>
    <w:rsid w:val="009C6904"/>
    <w:rsid w:val="009D0E68"/>
    <w:rsid w:val="009D492B"/>
    <w:rsid w:val="009D5BE4"/>
    <w:rsid w:val="009D6C54"/>
    <w:rsid w:val="009E23C1"/>
    <w:rsid w:val="009E2EC8"/>
    <w:rsid w:val="009E519A"/>
    <w:rsid w:val="009E5F28"/>
    <w:rsid w:val="009E6A00"/>
    <w:rsid w:val="009E7983"/>
    <w:rsid w:val="009F1238"/>
    <w:rsid w:val="009F26DD"/>
    <w:rsid w:val="009F3952"/>
    <w:rsid w:val="009F5DDA"/>
    <w:rsid w:val="009F7C59"/>
    <w:rsid w:val="00A0058B"/>
    <w:rsid w:val="00A01DB9"/>
    <w:rsid w:val="00A02622"/>
    <w:rsid w:val="00A13DC4"/>
    <w:rsid w:val="00A14763"/>
    <w:rsid w:val="00A159D3"/>
    <w:rsid w:val="00A15A66"/>
    <w:rsid w:val="00A15A88"/>
    <w:rsid w:val="00A1721F"/>
    <w:rsid w:val="00A17810"/>
    <w:rsid w:val="00A20ECE"/>
    <w:rsid w:val="00A22B78"/>
    <w:rsid w:val="00A2372C"/>
    <w:rsid w:val="00A26730"/>
    <w:rsid w:val="00A26D99"/>
    <w:rsid w:val="00A27BED"/>
    <w:rsid w:val="00A331A7"/>
    <w:rsid w:val="00A3773D"/>
    <w:rsid w:val="00A41FC4"/>
    <w:rsid w:val="00A42205"/>
    <w:rsid w:val="00A44E60"/>
    <w:rsid w:val="00A458D1"/>
    <w:rsid w:val="00A4707D"/>
    <w:rsid w:val="00A4711F"/>
    <w:rsid w:val="00A50DD9"/>
    <w:rsid w:val="00A51B04"/>
    <w:rsid w:val="00A52D62"/>
    <w:rsid w:val="00A53969"/>
    <w:rsid w:val="00A5581F"/>
    <w:rsid w:val="00A56EB5"/>
    <w:rsid w:val="00A62689"/>
    <w:rsid w:val="00A67D8E"/>
    <w:rsid w:val="00A72A8C"/>
    <w:rsid w:val="00A7563E"/>
    <w:rsid w:val="00A75B04"/>
    <w:rsid w:val="00A77BCB"/>
    <w:rsid w:val="00A820E6"/>
    <w:rsid w:val="00A868A8"/>
    <w:rsid w:val="00A925F9"/>
    <w:rsid w:val="00A95309"/>
    <w:rsid w:val="00A97869"/>
    <w:rsid w:val="00A978D1"/>
    <w:rsid w:val="00AA15B5"/>
    <w:rsid w:val="00AA5860"/>
    <w:rsid w:val="00AB116B"/>
    <w:rsid w:val="00AB200E"/>
    <w:rsid w:val="00AB2B89"/>
    <w:rsid w:val="00AB7879"/>
    <w:rsid w:val="00AC2859"/>
    <w:rsid w:val="00AC32C7"/>
    <w:rsid w:val="00AC35AF"/>
    <w:rsid w:val="00AC5065"/>
    <w:rsid w:val="00AD12DA"/>
    <w:rsid w:val="00AD1A79"/>
    <w:rsid w:val="00AD1C90"/>
    <w:rsid w:val="00AD3020"/>
    <w:rsid w:val="00AD5917"/>
    <w:rsid w:val="00AE11EE"/>
    <w:rsid w:val="00AE1BE1"/>
    <w:rsid w:val="00AE33B6"/>
    <w:rsid w:val="00AF2A32"/>
    <w:rsid w:val="00AF36C1"/>
    <w:rsid w:val="00AF4CAF"/>
    <w:rsid w:val="00AF4F68"/>
    <w:rsid w:val="00AF5EB3"/>
    <w:rsid w:val="00B001D0"/>
    <w:rsid w:val="00B01F29"/>
    <w:rsid w:val="00B04386"/>
    <w:rsid w:val="00B04D6D"/>
    <w:rsid w:val="00B07FF7"/>
    <w:rsid w:val="00B2064A"/>
    <w:rsid w:val="00B20F20"/>
    <w:rsid w:val="00B22EB9"/>
    <w:rsid w:val="00B23D8D"/>
    <w:rsid w:val="00B24EDD"/>
    <w:rsid w:val="00B261F3"/>
    <w:rsid w:val="00B27EAE"/>
    <w:rsid w:val="00B34907"/>
    <w:rsid w:val="00B3577D"/>
    <w:rsid w:val="00B37634"/>
    <w:rsid w:val="00B407C1"/>
    <w:rsid w:val="00B40D08"/>
    <w:rsid w:val="00B41B02"/>
    <w:rsid w:val="00B47505"/>
    <w:rsid w:val="00B47ED9"/>
    <w:rsid w:val="00B55D67"/>
    <w:rsid w:val="00B56990"/>
    <w:rsid w:val="00B57484"/>
    <w:rsid w:val="00B57D4B"/>
    <w:rsid w:val="00B611AB"/>
    <w:rsid w:val="00B64315"/>
    <w:rsid w:val="00B6433D"/>
    <w:rsid w:val="00B64804"/>
    <w:rsid w:val="00B6493C"/>
    <w:rsid w:val="00B66764"/>
    <w:rsid w:val="00B704F4"/>
    <w:rsid w:val="00B75EA5"/>
    <w:rsid w:val="00B77D71"/>
    <w:rsid w:val="00B77D8C"/>
    <w:rsid w:val="00B8062C"/>
    <w:rsid w:val="00B82597"/>
    <w:rsid w:val="00B82650"/>
    <w:rsid w:val="00B834DE"/>
    <w:rsid w:val="00B8715F"/>
    <w:rsid w:val="00B90C9F"/>
    <w:rsid w:val="00B92233"/>
    <w:rsid w:val="00B9543F"/>
    <w:rsid w:val="00B97606"/>
    <w:rsid w:val="00BA0DAD"/>
    <w:rsid w:val="00BA1692"/>
    <w:rsid w:val="00BA19F5"/>
    <w:rsid w:val="00BA22FA"/>
    <w:rsid w:val="00BA4342"/>
    <w:rsid w:val="00BA5D1A"/>
    <w:rsid w:val="00BA71B0"/>
    <w:rsid w:val="00BB0EA5"/>
    <w:rsid w:val="00BB0EB8"/>
    <w:rsid w:val="00BB11A0"/>
    <w:rsid w:val="00BB1CB7"/>
    <w:rsid w:val="00BB200F"/>
    <w:rsid w:val="00BB3F19"/>
    <w:rsid w:val="00BB5939"/>
    <w:rsid w:val="00BB5FED"/>
    <w:rsid w:val="00BB7A6C"/>
    <w:rsid w:val="00BC03FC"/>
    <w:rsid w:val="00BC4F19"/>
    <w:rsid w:val="00BC56A8"/>
    <w:rsid w:val="00BC62B6"/>
    <w:rsid w:val="00BD2787"/>
    <w:rsid w:val="00BD3113"/>
    <w:rsid w:val="00BD39BF"/>
    <w:rsid w:val="00BD53BE"/>
    <w:rsid w:val="00BD5523"/>
    <w:rsid w:val="00BE39A4"/>
    <w:rsid w:val="00BE4DDB"/>
    <w:rsid w:val="00BE7694"/>
    <w:rsid w:val="00BF0EE5"/>
    <w:rsid w:val="00BF24F6"/>
    <w:rsid w:val="00BF34B5"/>
    <w:rsid w:val="00BF4C38"/>
    <w:rsid w:val="00C006EC"/>
    <w:rsid w:val="00C01871"/>
    <w:rsid w:val="00C02013"/>
    <w:rsid w:val="00C05DFC"/>
    <w:rsid w:val="00C068FC"/>
    <w:rsid w:val="00C101BC"/>
    <w:rsid w:val="00C12389"/>
    <w:rsid w:val="00C13954"/>
    <w:rsid w:val="00C24F7E"/>
    <w:rsid w:val="00C267AB"/>
    <w:rsid w:val="00C32CAB"/>
    <w:rsid w:val="00C33053"/>
    <w:rsid w:val="00C43D73"/>
    <w:rsid w:val="00C5244F"/>
    <w:rsid w:val="00C55F07"/>
    <w:rsid w:val="00C60364"/>
    <w:rsid w:val="00C64167"/>
    <w:rsid w:val="00C6475C"/>
    <w:rsid w:val="00C666D3"/>
    <w:rsid w:val="00C67375"/>
    <w:rsid w:val="00C71B8A"/>
    <w:rsid w:val="00C72192"/>
    <w:rsid w:val="00C749F8"/>
    <w:rsid w:val="00C850BA"/>
    <w:rsid w:val="00C85F39"/>
    <w:rsid w:val="00C93679"/>
    <w:rsid w:val="00C95EDC"/>
    <w:rsid w:val="00C96B0D"/>
    <w:rsid w:val="00CA2297"/>
    <w:rsid w:val="00CA2602"/>
    <w:rsid w:val="00CA5752"/>
    <w:rsid w:val="00CA7B4B"/>
    <w:rsid w:val="00CB1FE7"/>
    <w:rsid w:val="00CB6333"/>
    <w:rsid w:val="00CC02FE"/>
    <w:rsid w:val="00CC053E"/>
    <w:rsid w:val="00CC0FE4"/>
    <w:rsid w:val="00CC36D0"/>
    <w:rsid w:val="00CC502B"/>
    <w:rsid w:val="00CC6796"/>
    <w:rsid w:val="00CC7794"/>
    <w:rsid w:val="00CD00FE"/>
    <w:rsid w:val="00CD026B"/>
    <w:rsid w:val="00CD08CA"/>
    <w:rsid w:val="00CD6927"/>
    <w:rsid w:val="00CE1355"/>
    <w:rsid w:val="00CE520A"/>
    <w:rsid w:val="00CE5BE5"/>
    <w:rsid w:val="00CF069F"/>
    <w:rsid w:val="00CF1C1B"/>
    <w:rsid w:val="00CF4EEC"/>
    <w:rsid w:val="00CF760B"/>
    <w:rsid w:val="00D0061F"/>
    <w:rsid w:val="00D00F6B"/>
    <w:rsid w:val="00D053AF"/>
    <w:rsid w:val="00D100FD"/>
    <w:rsid w:val="00D15B24"/>
    <w:rsid w:val="00D17B49"/>
    <w:rsid w:val="00D17F29"/>
    <w:rsid w:val="00D230B3"/>
    <w:rsid w:val="00D2459D"/>
    <w:rsid w:val="00D2461D"/>
    <w:rsid w:val="00D25471"/>
    <w:rsid w:val="00D31369"/>
    <w:rsid w:val="00D32A11"/>
    <w:rsid w:val="00D33746"/>
    <w:rsid w:val="00D3748F"/>
    <w:rsid w:val="00D43417"/>
    <w:rsid w:val="00D5207A"/>
    <w:rsid w:val="00D526C0"/>
    <w:rsid w:val="00D539DE"/>
    <w:rsid w:val="00D567BD"/>
    <w:rsid w:val="00D575F9"/>
    <w:rsid w:val="00D60805"/>
    <w:rsid w:val="00D609F7"/>
    <w:rsid w:val="00D62C3F"/>
    <w:rsid w:val="00D63ACF"/>
    <w:rsid w:val="00D63BE0"/>
    <w:rsid w:val="00D64151"/>
    <w:rsid w:val="00D67A2A"/>
    <w:rsid w:val="00D703C0"/>
    <w:rsid w:val="00D70A56"/>
    <w:rsid w:val="00D72E3F"/>
    <w:rsid w:val="00D744F6"/>
    <w:rsid w:val="00D82856"/>
    <w:rsid w:val="00D82B7D"/>
    <w:rsid w:val="00D8393A"/>
    <w:rsid w:val="00D87847"/>
    <w:rsid w:val="00D90A99"/>
    <w:rsid w:val="00D90ABC"/>
    <w:rsid w:val="00D90F15"/>
    <w:rsid w:val="00D91BA4"/>
    <w:rsid w:val="00D91D3F"/>
    <w:rsid w:val="00D91DCA"/>
    <w:rsid w:val="00D928FF"/>
    <w:rsid w:val="00D92AC2"/>
    <w:rsid w:val="00D94366"/>
    <w:rsid w:val="00D945EF"/>
    <w:rsid w:val="00D95E35"/>
    <w:rsid w:val="00D97AD7"/>
    <w:rsid w:val="00DA034C"/>
    <w:rsid w:val="00DA0A01"/>
    <w:rsid w:val="00DA39E8"/>
    <w:rsid w:val="00DA4BD7"/>
    <w:rsid w:val="00DA50CF"/>
    <w:rsid w:val="00DA6782"/>
    <w:rsid w:val="00DB1416"/>
    <w:rsid w:val="00DB340C"/>
    <w:rsid w:val="00DC124E"/>
    <w:rsid w:val="00DC32B1"/>
    <w:rsid w:val="00DC3D37"/>
    <w:rsid w:val="00DD08BB"/>
    <w:rsid w:val="00DD0BBF"/>
    <w:rsid w:val="00DD2A9F"/>
    <w:rsid w:val="00DD544C"/>
    <w:rsid w:val="00DD6C71"/>
    <w:rsid w:val="00DE07F8"/>
    <w:rsid w:val="00DE1758"/>
    <w:rsid w:val="00DE192C"/>
    <w:rsid w:val="00DE2A55"/>
    <w:rsid w:val="00DE6388"/>
    <w:rsid w:val="00DE6F3B"/>
    <w:rsid w:val="00DE7D54"/>
    <w:rsid w:val="00DF6906"/>
    <w:rsid w:val="00DF723B"/>
    <w:rsid w:val="00DF7E7A"/>
    <w:rsid w:val="00E004DA"/>
    <w:rsid w:val="00E012C3"/>
    <w:rsid w:val="00E07A25"/>
    <w:rsid w:val="00E12103"/>
    <w:rsid w:val="00E14B89"/>
    <w:rsid w:val="00E16ECD"/>
    <w:rsid w:val="00E17B98"/>
    <w:rsid w:val="00E25788"/>
    <w:rsid w:val="00E25849"/>
    <w:rsid w:val="00E25EE9"/>
    <w:rsid w:val="00E27B15"/>
    <w:rsid w:val="00E336A4"/>
    <w:rsid w:val="00E33A9B"/>
    <w:rsid w:val="00E349C4"/>
    <w:rsid w:val="00E34EDB"/>
    <w:rsid w:val="00E35D96"/>
    <w:rsid w:val="00E3665E"/>
    <w:rsid w:val="00E3756F"/>
    <w:rsid w:val="00E37722"/>
    <w:rsid w:val="00E42EE1"/>
    <w:rsid w:val="00E46AD4"/>
    <w:rsid w:val="00E50E72"/>
    <w:rsid w:val="00E538C6"/>
    <w:rsid w:val="00E53FDA"/>
    <w:rsid w:val="00E55E71"/>
    <w:rsid w:val="00E57348"/>
    <w:rsid w:val="00E60247"/>
    <w:rsid w:val="00E614E6"/>
    <w:rsid w:val="00E634CE"/>
    <w:rsid w:val="00E656DF"/>
    <w:rsid w:val="00E71E6E"/>
    <w:rsid w:val="00E73E62"/>
    <w:rsid w:val="00E74078"/>
    <w:rsid w:val="00E8563F"/>
    <w:rsid w:val="00E87CD3"/>
    <w:rsid w:val="00E87ED0"/>
    <w:rsid w:val="00E91EB3"/>
    <w:rsid w:val="00EA1233"/>
    <w:rsid w:val="00EA2C7E"/>
    <w:rsid w:val="00EA3FD8"/>
    <w:rsid w:val="00EA6FAC"/>
    <w:rsid w:val="00EA774C"/>
    <w:rsid w:val="00EB0755"/>
    <w:rsid w:val="00EB0A20"/>
    <w:rsid w:val="00EB7571"/>
    <w:rsid w:val="00EC1A48"/>
    <w:rsid w:val="00EC2345"/>
    <w:rsid w:val="00EC30BA"/>
    <w:rsid w:val="00ED50D2"/>
    <w:rsid w:val="00ED6D0E"/>
    <w:rsid w:val="00ED6F87"/>
    <w:rsid w:val="00EE1D05"/>
    <w:rsid w:val="00EE2176"/>
    <w:rsid w:val="00EE2250"/>
    <w:rsid w:val="00EE6574"/>
    <w:rsid w:val="00EE7DBA"/>
    <w:rsid w:val="00EF0625"/>
    <w:rsid w:val="00EF3F87"/>
    <w:rsid w:val="00F035D4"/>
    <w:rsid w:val="00F036E3"/>
    <w:rsid w:val="00F03964"/>
    <w:rsid w:val="00F05740"/>
    <w:rsid w:val="00F06774"/>
    <w:rsid w:val="00F072A1"/>
    <w:rsid w:val="00F07BB8"/>
    <w:rsid w:val="00F10AE7"/>
    <w:rsid w:val="00F12684"/>
    <w:rsid w:val="00F13EEB"/>
    <w:rsid w:val="00F20BE9"/>
    <w:rsid w:val="00F21E78"/>
    <w:rsid w:val="00F2249F"/>
    <w:rsid w:val="00F23AAF"/>
    <w:rsid w:val="00F2722B"/>
    <w:rsid w:val="00F31310"/>
    <w:rsid w:val="00F31B23"/>
    <w:rsid w:val="00F33E22"/>
    <w:rsid w:val="00F354F0"/>
    <w:rsid w:val="00F37185"/>
    <w:rsid w:val="00F40D4E"/>
    <w:rsid w:val="00F41516"/>
    <w:rsid w:val="00F425D4"/>
    <w:rsid w:val="00F4548C"/>
    <w:rsid w:val="00F4631A"/>
    <w:rsid w:val="00F5028F"/>
    <w:rsid w:val="00F51BC0"/>
    <w:rsid w:val="00F56622"/>
    <w:rsid w:val="00F57339"/>
    <w:rsid w:val="00F573E7"/>
    <w:rsid w:val="00F605D8"/>
    <w:rsid w:val="00F62D3F"/>
    <w:rsid w:val="00F66261"/>
    <w:rsid w:val="00F66EBA"/>
    <w:rsid w:val="00F72E1D"/>
    <w:rsid w:val="00F732E5"/>
    <w:rsid w:val="00F86074"/>
    <w:rsid w:val="00F87924"/>
    <w:rsid w:val="00F930CB"/>
    <w:rsid w:val="00F93F27"/>
    <w:rsid w:val="00F9405D"/>
    <w:rsid w:val="00F95394"/>
    <w:rsid w:val="00F95D15"/>
    <w:rsid w:val="00FA1761"/>
    <w:rsid w:val="00FA2992"/>
    <w:rsid w:val="00FA3519"/>
    <w:rsid w:val="00FA3BFC"/>
    <w:rsid w:val="00FA69D7"/>
    <w:rsid w:val="00FA7719"/>
    <w:rsid w:val="00FA7CAF"/>
    <w:rsid w:val="00FB01E0"/>
    <w:rsid w:val="00FB02F2"/>
    <w:rsid w:val="00FB0C6B"/>
    <w:rsid w:val="00FB2049"/>
    <w:rsid w:val="00FB2E5F"/>
    <w:rsid w:val="00FB3B18"/>
    <w:rsid w:val="00FB43C2"/>
    <w:rsid w:val="00FB47FD"/>
    <w:rsid w:val="00FB7B9F"/>
    <w:rsid w:val="00FB7DC5"/>
    <w:rsid w:val="00FC535F"/>
    <w:rsid w:val="00FC5A7F"/>
    <w:rsid w:val="00FC62C5"/>
    <w:rsid w:val="00FC7810"/>
    <w:rsid w:val="00FD2414"/>
    <w:rsid w:val="00FD27E2"/>
    <w:rsid w:val="00FD2928"/>
    <w:rsid w:val="00FE2842"/>
    <w:rsid w:val="00FE3298"/>
    <w:rsid w:val="00FF4A8E"/>
    <w:rsid w:val="00FF506A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6871"/>
  <w15:docId w15:val="{EE75CF35-EEC7-4224-A421-28CBC3E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B"/>
    <w:pPr>
      <w:spacing w:after="120"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72B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72B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2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97AD7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7AD7"/>
    <w:rPr>
      <w:rFonts w:ascii="Arial" w:hAnsi="Arial" w:cs="Arial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97AD7"/>
    <w:pPr>
      <w:spacing w:line="36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97AD7"/>
    <w:rPr>
      <w:rFonts w:ascii="Arial" w:hAnsi="Arial" w:cs="Arial"/>
      <w:noProof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97AD7"/>
    <w:rPr>
      <w:color w:val="405AB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A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7B9B"/>
    <w:rPr>
      <w:color w:val="C3C3C3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78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TableGridLight1">
    <w:name w:val="Table Grid Light1"/>
    <w:basedOn w:val="TableNormal"/>
    <w:uiPriority w:val="40"/>
    <w:rsid w:val="00C641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40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068FC"/>
    <w:pPr>
      <w:spacing w:after="0" w:line="240" w:lineRule="auto"/>
    </w:pPr>
    <w:rPr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Char"/>
    <w:rsid w:val="006009E5"/>
    <w:pPr>
      <w:spacing w:before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6009E5"/>
    <w:rPr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34CA-6B1E-44C4-BD9B-1F893F6D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</dc:creator>
  <cp:lastModifiedBy>Ian Williams</cp:lastModifiedBy>
  <cp:revision>10</cp:revision>
  <cp:lastPrinted>2019-05-29T12:46:00Z</cp:lastPrinted>
  <dcterms:created xsi:type="dcterms:W3CDTF">2019-05-29T11:39:00Z</dcterms:created>
  <dcterms:modified xsi:type="dcterms:W3CDTF">2019-05-31T13:42:00Z</dcterms:modified>
</cp:coreProperties>
</file>