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5A" w:rsidRPr="009A0BA5" w:rsidRDefault="00B6060F" w:rsidP="00B6060F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56"/>
        </w:rPr>
      </w:pPr>
      <w:r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56"/>
        </w:rPr>
        <w:t>Supplementary Online Content</w:t>
      </w:r>
    </w:p>
    <w:p w:rsidR="00B23D3A" w:rsidRPr="009A0BA5" w:rsidRDefault="00B23D3A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56"/>
        </w:rPr>
      </w:pPr>
    </w:p>
    <w:p w:rsidR="00F5774D" w:rsidRPr="009A0BA5" w:rsidRDefault="00F5774D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</w:pPr>
    </w:p>
    <w:p w:rsidR="00F5774D" w:rsidRPr="009A0BA5" w:rsidRDefault="00F5774D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</w:pPr>
    </w:p>
    <w:p w:rsidR="00F5774D" w:rsidRPr="009A0BA5" w:rsidRDefault="00F5774D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</w:pPr>
    </w:p>
    <w:p w:rsidR="00F5774D" w:rsidRPr="009A0BA5" w:rsidRDefault="00F5774D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</w:pPr>
    </w:p>
    <w:p w:rsidR="00C364A8" w:rsidRPr="009A0BA5" w:rsidRDefault="00B84792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</w:pPr>
      <w:r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Table</w:t>
      </w:r>
      <w:r w:rsidR="00B23D3A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 xml:space="preserve"> </w:t>
      </w:r>
      <w:r w:rsidR="00E50EEB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e-</w:t>
      </w:r>
      <w:r w:rsidR="00F54674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1</w:t>
      </w:r>
      <w:r w:rsidR="00B23D3A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.</w:t>
      </w:r>
      <w:r w:rsidR="00FB5E9F" w:rsidRPr="009A0BA5">
        <w:rPr>
          <w:rFonts w:ascii="Times New Roman" w:hAnsi="Times New Roman" w:cs="Times New Roman"/>
          <w:color w:val="000000" w:themeColor="text1"/>
        </w:rPr>
        <w:t xml:space="preserve"> </w:t>
      </w:r>
      <w:r w:rsidR="00FB5E9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 xml:space="preserve">Definition of </w:t>
      </w:r>
      <w:r w:rsidR="00DA0B8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 xml:space="preserve">the </w:t>
      </w:r>
      <w:r w:rsidR="00976D3B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>standard</w:t>
      </w:r>
      <w:r w:rsidR="00DA0B8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 xml:space="preserve"> </w:t>
      </w:r>
      <w:r w:rsidR="00F50DED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>of care</w:t>
      </w:r>
      <w:r w:rsidR="00DA0B8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 xml:space="preserve"> and </w:t>
      </w:r>
      <w:r w:rsidR="00FB5E9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>potential confounders</w:t>
      </w:r>
    </w:p>
    <w:p w:rsidR="00B23D3A" w:rsidRPr="009A0BA5" w:rsidRDefault="00B84792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</w:pPr>
      <w:r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Table</w:t>
      </w:r>
      <w:r w:rsidR="00B23D3A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 xml:space="preserve"> </w:t>
      </w:r>
      <w:r w:rsidR="00E50EEB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e-</w:t>
      </w:r>
      <w:r w:rsidR="00F54674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2</w:t>
      </w:r>
      <w:r w:rsidR="00B23D3A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.</w:t>
      </w:r>
      <w:r w:rsidR="00FB5E9F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 xml:space="preserve"> </w:t>
      </w:r>
      <w:r w:rsidR="00FB5E9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>Log rank test for the association between different confounders and disease relapse, respectively</w:t>
      </w:r>
    </w:p>
    <w:p w:rsidR="00B23D3A" w:rsidRPr="009A0BA5" w:rsidRDefault="00B84792" w:rsidP="00B23D3A">
      <w:pPr>
        <w:jc w:val="left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</w:pPr>
      <w:r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Table</w:t>
      </w:r>
      <w:r w:rsidR="00B23D3A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 xml:space="preserve"> </w:t>
      </w:r>
      <w:r w:rsidR="00E50EEB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e-</w:t>
      </w:r>
      <w:r w:rsidR="00F54674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3</w:t>
      </w:r>
      <w:r w:rsidR="00B23D3A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>.</w:t>
      </w:r>
      <w:r w:rsidR="00FB5E9F" w:rsidRPr="009A0BA5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0"/>
          <w:szCs w:val="56"/>
        </w:rPr>
        <w:t xml:space="preserve"> </w:t>
      </w:r>
      <w:r w:rsidR="00FB5E9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>Comparison of variables between initial MOG-IgG</w:t>
      </w:r>
      <w:r w:rsidR="00136D1A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 xml:space="preserve"> titer</w:t>
      </w:r>
      <w:r w:rsidR="002552F5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 xml:space="preserve"> </w:t>
      </w:r>
      <w:r w:rsidR="00FB5E9F" w:rsidRPr="009A0BA5">
        <w:rPr>
          <w:rFonts w:ascii="Times New Roman" w:eastAsiaTheme="majorEastAsia" w:hAnsi="Times New Roman" w:cs="Times New Roman"/>
          <w:color w:val="000000" w:themeColor="text1"/>
          <w:spacing w:val="-10"/>
          <w:kern w:val="28"/>
          <w:sz w:val="20"/>
          <w:szCs w:val="56"/>
        </w:rPr>
        <w:t>&lt; 1:100 group and ≥ 1:100 group</w:t>
      </w:r>
    </w:p>
    <w:p w:rsidR="000C4597" w:rsidRPr="009A0BA5" w:rsidRDefault="000C4597" w:rsidP="00B6060F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56"/>
        </w:rPr>
      </w:pPr>
    </w:p>
    <w:p w:rsidR="000C4597" w:rsidRPr="009A0BA5" w:rsidRDefault="000C4597" w:rsidP="00010C47">
      <w:pPr>
        <w:rPr>
          <w:rFonts w:ascii="Times New Roman" w:hAnsi="Times New Roman" w:cs="Times New Roman"/>
          <w:b/>
          <w:color w:val="000000" w:themeColor="text1"/>
          <w:sz w:val="12"/>
        </w:rPr>
        <w:sectPr w:rsidR="000C4597" w:rsidRPr="009A0BA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5ED9" w:rsidRPr="009A0BA5" w:rsidRDefault="00937704" w:rsidP="00106A5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A0BA5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Table </w:t>
      </w:r>
      <w:r w:rsidR="00514B3C" w:rsidRPr="009A0BA5">
        <w:rPr>
          <w:rFonts w:ascii="Times New Roman" w:hAnsi="Times New Roman" w:cs="Times New Roman"/>
          <w:b/>
          <w:color w:val="000000" w:themeColor="text1"/>
          <w:sz w:val="24"/>
        </w:rPr>
        <w:t>e-</w:t>
      </w:r>
      <w:r w:rsidR="00C33059" w:rsidRPr="009A0BA5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. Definition of </w:t>
      </w:r>
      <w:r w:rsidR="00006239"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the </w:t>
      </w:r>
      <w:r w:rsidR="00976D3B" w:rsidRPr="009A0BA5">
        <w:rPr>
          <w:rFonts w:ascii="Times New Roman" w:hAnsi="Times New Roman" w:cs="Times New Roman"/>
          <w:b/>
          <w:color w:val="000000" w:themeColor="text1"/>
          <w:sz w:val="24"/>
        </w:rPr>
        <w:t>standard</w:t>
      </w:r>
      <w:r w:rsidR="00006239"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21B38" w:rsidRPr="009A0BA5">
        <w:rPr>
          <w:rFonts w:ascii="Times New Roman" w:hAnsi="Times New Roman" w:cs="Times New Roman"/>
          <w:b/>
          <w:color w:val="000000" w:themeColor="text1"/>
          <w:sz w:val="24"/>
        </w:rPr>
        <w:t>of care</w:t>
      </w:r>
      <w:r w:rsidR="00006239"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 and </w:t>
      </w:r>
      <w:r w:rsidRPr="009A0BA5">
        <w:rPr>
          <w:rFonts w:ascii="Times New Roman" w:hAnsi="Times New Roman" w:cs="Times New Roman"/>
          <w:b/>
          <w:color w:val="000000" w:themeColor="text1"/>
          <w:sz w:val="24"/>
        </w:rPr>
        <w:t>potential confounders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8080"/>
      </w:tblGrid>
      <w:tr w:rsidR="009A0BA5" w:rsidRPr="009A0BA5" w:rsidTr="001F02E9">
        <w:tc>
          <w:tcPr>
            <w:tcW w:w="2830" w:type="dxa"/>
          </w:tcPr>
          <w:p w:rsidR="00431C22" w:rsidRPr="009A0BA5" w:rsidRDefault="00431C22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Variables</w:t>
            </w:r>
          </w:p>
        </w:tc>
        <w:tc>
          <w:tcPr>
            <w:tcW w:w="2977" w:type="dxa"/>
          </w:tcPr>
          <w:p w:rsidR="00431C22" w:rsidRPr="009A0BA5" w:rsidRDefault="00431C22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Subgroups</w:t>
            </w:r>
          </w:p>
        </w:tc>
        <w:tc>
          <w:tcPr>
            <w:tcW w:w="8080" w:type="dxa"/>
          </w:tcPr>
          <w:p w:rsidR="00431C22" w:rsidRPr="009A0BA5" w:rsidRDefault="00431C22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Details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006239" w:rsidRPr="009A0BA5" w:rsidRDefault="00976D3B" w:rsidP="00106A5A">
            <w:pPr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Standard</w:t>
            </w:r>
            <w:r w:rsidR="00006239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421B38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of care</w:t>
            </w:r>
            <w:r w:rsidR="00C33059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33059" w:rsidRPr="009A0BA5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a</w:t>
            </w:r>
          </w:p>
        </w:tc>
        <w:tc>
          <w:tcPr>
            <w:tcW w:w="2977" w:type="dxa"/>
          </w:tcPr>
          <w:p w:rsidR="00006239" w:rsidRPr="009A0BA5" w:rsidRDefault="00006239" w:rsidP="00106A5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S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teroid</w:t>
            </w:r>
          </w:p>
        </w:tc>
        <w:tc>
          <w:tcPr>
            <w:tcW w:w="8080" w:type="dxa"/>
          </w:tcPr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Intravenous high-dose methylprednisolone (1000mg/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day</w:t>
            </w:r>
            <w:r w:rsidR="00421B38" w:rsidRPr="009A0BA5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b</w:t>
            </w:r>
            <w:proofErr w:type="spellEnd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) × 5 days → Oral prednisone calculated by weight → Tapering prednisone at the speed of 5mg per week→ 30 mg/day × 1 month → Tapering prednisone at the speed of 2.5mg per week→ Maintenance of 7.5/day.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For example: For an adult weighted 60 Kg, the dose of prednisone were as following: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First week: 60 mg/day × 7 days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Second week: 55 mg/day × 7 days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Third week: 50 mg/day × 7 days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…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Seventh week: 30 mg/day × 30 days (Four weeks)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Eleventh week: 27.5 mg/day × 7 days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Twelfth week: 25 mg/day × 7 days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…</w:t>
            </w:r>
          </w:p>
          <w:p w:rsidR="00006239" w:rsidRPr="009A0BA5" w:rsidRDefault="00006239" w:rsidP="000062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N week: 7.5 mg/day for following days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006239" w:rsidRPr="009A0BA5" w:rsidRDefault="00006239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:rsidR="00006239" w:rsidRPr="009A0BA5" w:rsidRDefault="00006239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Intravenous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Immunogloblin</w:t>
            </w:r>
            <w:proofErr w:type="spellEnd"/>
          </w:p>
        </w:tc>
        <w:tc>
          <w:tcPr>
            <w:tcW w:w="8080" w:type="dxa"/>
          </w:tcPr>
          <w:p w:rsidR="00006239" w:rsidRPr="009A0BA5" w:rsidRDefault="00006239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Intravenous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Immunogloblin</w:t>
            </w:r>
            <w:proofErr w:type="spellEnd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(0.4g/kg/day) × 5 days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006239" w:rsidRPr="009A0BA5" w:rsidRDefault="00006239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977" w:type="dxa"/>
          </w:tcPr>
          <w:p w:rsidR="00006239" w:rsidRPr="009A0BA5" w:rsidRDefault="00006239" w:rsidP="00106A5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O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ther</w:t>
            </w:r>
          </w:p>
        </w:tc>
        <w:tc>
          <w:tcPr>
            <w:tcW w:w="8080" w:type="dxa"/>
          </w:tcPr>
          <w:p w:rsidR="00006239" w:rsidRPr="009A0BA5" w:rsidRDefault="00006239" w:rsidP="00106A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Antiviral therapy × 14-21 days according to guidelines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3D7B82" w:rsidRPr="009A0BA5" w:rsidRDefault="003D7B82" w:rsidP="003D7B82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Prodrome type at first onset </w:t>
            </w:r>
          </w:p>
        </w:tc>
        <w:tc>
          <w:tcPr>
            <w:tcW w:w="2977" w:type="dxa"/>
          </w:tcPr>
          <w:p w:rsidR="003D7B82" w:rsidRPr="009A0BA5" w:rsidRDefault="003D7B82" w:rsidP="00106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8080" w:type="dxa"/>
          </w:tcPr>
          <w:p w:rsidR="003D7B82" w:rsidRPr="009A0BA5" w:rsidRDefault="003D7B82" w:rsidP="00106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3D7B82" w:rsidRPr="009A0BA5" w:rsidRDefault="003D7B82" w:rsidP="00106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7B82" w:rsidRPr="009A0BA5" w:rsidRDefault="00A14B2B" w:rsidP="00A14B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Preceding 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infection/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vaccination</w:t>
            </w:r>
          </w:p>
        </w:tc>
        <w:tc>
          <w:tcPr>
            <w:tcW w:w="8080" w:type="dxa"/>
          </w:tcPr>
          <w:p w:rsidR="003D7B82" w:rsidRPr="009A0BA5" w:rsidRDefault="00A9399B" w:rsidP="00106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receding fever/infection /vaccination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3D7B82" w:rsidRPr="009A0BA5" w:rsidRDefault="003D7B82" w:rsidP="00106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7B82" w:rsidRPr="009A0BA5" w:rsidRDefault="003D7B82" w:rsidP="00106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8080" w:type="dxa"/>
          </w:tcPr>
          <w:p w:rsidR="003D7B82" w:rsidRPr="009A0BA5" w:rsidRDefault="003D7B82" w:rsidP="005C6A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pregnancy/lactation</w:t>
            </w:r>
            <w:r w:rsidR="005C6A80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fatigue/ poor sleep/ tension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3D7B82" w:rsidRPr="009A0BA5" w:rsidRDefault="003D7B82" w:rsidP="003D7B82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Prodrome type at index onset</w:t>
            </w:r>
          </w:p>
        </w:tc>
        <w:tc>
          <w:tcPr>
            <w:tcW w:w="2977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8080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7B82" w:rsidRPr="009A0BA5" w:rsidRDefault="00A14B2B" w:rsidP="00A14B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Preceding 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infection/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vaccination</w:t>
            </w:r>
          </w:p>
        </w:tc>
        <w:tc>
          <w:tcPr>
            <w:tcW w:w="8080" w:type="dxa"/>
          </w:tcPr>
          <w:p w:rsidR="003D7B82" w:rsidRPr="009A0BA5" w:rsidRDefault="00A9399B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receding fever/infection /vaccination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8080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pregnancy/lactation, fatigue/ poor sleep/ tension, or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discountinuation</w:t>
            </w:r>
            <w:proofErr w:type="spellEnd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prednisone 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Onset type at first onset</w:t>
            </w:r>
          </w:p>
        </w:tc>
        <w:tc>
          <w:tcPr>
            <w:tcW w:w="2977" w:type="dxa"/>
          </w:tcPr>
          <w:p w:rsidR="003D7B82" w:rsidRPr="009A0BA5" w:rsidRDefault="00470874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Pure 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optic neuritis</w:t>
            </w:r>
          </w:p>
        </w:tc>
        <w:tc>
          <w:tcPr>
            <w:tcW w:w="8080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optic neuritis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7B82" w:rsidRPr="009A0BA5" w:rsidRDefault="00470874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Pure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cerebrum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involvement</w:t>
            </w:r>
          </w:p>
        </w:tc>
        <w:tc>
          <w:tcPr>
            <w:tcW w:w="8080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cerebrum involvemen</w:t>
            </w:r>
            <w:r w:rsidR="00CE16A4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 (including lobe and basal ganglia). For instance, motor aphasia was localized to temporal lobe of dominant hemisphere.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94730A" w:rsidRPr="009A0BA5" w:rsidRDefault="0094730A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94730A" w:rsidRPr="009A0BA5" w:rsidRDefault="0094730A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Pure myelitis</w:t>
            </w:r>
          </w:p>
        </w:tc>
        <w:tc>
          <w:tcPr>
            <w:tcW w:w="8080" w:type="dxa"/>
          </w:tcPr>
          <w:p w:rsidR="0094730A" w:rsidRPr="009A0BA5" w:rsidRDefault="0094730A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spine involvement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8080" w:type="dxa"/>
          </w:tcPr>
          <w:p w:rsidR="003D7B82" w:rsidRPr="009A0BA5" w:rsidRDefault="00F6339B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rainstem syndrome, cerebellar involvement, </w:t>
            </w:r>
            <w:proofErr w:type="spellStart"/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meminges</w:t>
            </w:r>
            <w:proofErr w:type="spellEnd"/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involvement, optic neuritis, cerebrum involvement, </w:t>
            </w:r>
            <w:r w:rsidR="00F73336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meningitis, 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any combination of above 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Onset type at index onset</w:t>
            </w:r>
          </w:p>
        </w:tc>
        <w:tc>
          <w:tcPr>
            <w:tcW w:w="2977" w:type="dxa"/>
          </w:tcPr>
          <w:p w:rsidR="003D7B82" w:rsidRPr="009A0BA5" w:rsidRDefault="00470874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Pure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optic neuritis</w:t>
            </w:r>
          </w:p>
        </w:tc>
        <w:tc>
          <w:tcPr>
            <w:tcW w:w="8080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optic neuritis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7B82" w:rsidRPr="009A0BA5" w:rsidRDefault="00470874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Pure</w:t>
            </w:r>
            <w:r w:rsidR="003D7B82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cerebrum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involvement</w:t>
            </w:r>
          </w:p>
        </w:tc>
        <w:tc>
          <w:tcPr>
            <w:tcW w:w="8080" w:type="dxa"/>
          </w:tcPr>
          <w:p w:rsidR="003D7B82" w:rsidRPr="009A0BA5" w:rsidRDefault="003D7B82" w:rsidP="003D7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cerebrum involvement</w:t>
            </w:r>
            <w:r w:rsidR="00CE16A4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(including lobe and basal ganglia). For instance, motor aphasia was localized to temporal lobe of dominant hemisphere.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Pure myelitis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spine involvement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Brainstem syndrome, cerebellar involvement,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meminges</w:t>
            </w:r>
            <w:proofErr w:type="spellEnd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involvement, optic neuritis, cerebrum involvement, meningitis, or any combination of above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Acute therapy type</w:t>
            </w: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Methylprednisolone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Intravenous high-dose methylprednisolone in the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eTable</w:t>
            </w:r>
            <w:proofErr w:type="spellEnd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1, without intravenous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immunogloblin</w:t>
            </w:r>
            <w:proofErr w:type="spellEnd"/>
          </w:p>
        </w:tc>
      </w:tr>
      <w:tr w:rsidR="009A0BA5" w:rsidRPr="009A0BA5" w:rsidTr="001F02E9">
        <w:tc>
          <w:tcPr>
            <w:tcW w:w="2830" w:type="dxa"/>
            <w:vMerge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Immunogloblin</w:t>
            </w:r>
            <w:proofErr w:type="spellEnd"/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Intravenous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immunogloblin</w:t>
            </w:r>
            <w:proofErr w:type="spellEnd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eTable</w:t>
            </w:r>
            <w:proofErr w:type="spellEnd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1, with or without intravenous high-dose methylprednisolone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Without any of intravenous high-dose methylprednisolone and intravenous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immunogloblin</w:t>
            </w:r>
            <w:proofErr w:type="spellEnd"/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1E50DD" w:rsidRPr="009A0BA5" w:rsidRDefault="00AA1A56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Level of </w:t>
            </w:r>
            <w:r w:rsidR="001E50DD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MOG-IgG </w:t>
            </w:r>
            <w:r w:rsidR="00E04DB4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titer</w:t>
            </w: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High </w:t>
            </w:r>
            <w:r w:rsidR="00E04DB4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titer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Including MOG-IgG </w:t>
            </w:r>
            <w:r w:rsidR="00E04DB4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titer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1:100,and 1:320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Low </w:t>
            </w:r>
            <w:r w:rsidR="00E04DB4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titer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Including MOG-IgG</w:t>
            </w:r>
            <w:r w:rsidR="00E04DB4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titer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A26D95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1:10, and 1:32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Disease course at index onset</w:t>
            </w: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First onset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Only one attack </w:t>
            </w:r>
            <w:r w:rsidR="003B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before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index date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Non-first onset</w:t>
            </w:r>
          </w:p>
        </w:tc>
        <w:tc>
          <w:tcPr>
            <w:tcW w:w="8080" w:type="dxa"/>
          </w:tcPr>
          <w:p w:rsidR="001E50DD" w:rsidRPr="009A0BA5" w:rsidRDefault="001E50DD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≥ 2 attacks </w:t>
            </w:r>
            <w:r w:rsidR="003B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before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index date</w:t>
            </w:r>
          </w:p>
        </w:tc>
      </w:tr>
      <w:tr w:rsidR="009A0BA5" w:rsidRPr="009A0BA5" w:rsidTr="001F02E9">
        <w:tc>
          <w:tcPr>
            <w:tcW w:w="2830" w:type="dxa"/>
            <w:vMerge w:val="restart"/>
          </w:tcPr>
          <w:p w:rsidR="00C16507" w:rsidRPr="009A0BA5" w:rsidRDefault="00B246BE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Level of </w:t>
            </w:r>
            <w:r w:rsidR="00C16507"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="00C16507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nnual relapse rate (ARR)</w:t>
            </w:r>
            <w:r w:rsidR="00C16507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421B38"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977" w:type="dxa"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80" w:type="dxa"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patients with 1 attack </w:t>
            </w:r>
            <w:r w:rsidR="007F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before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index date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="00B7033E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</w:t>
            </w:r>
          </w:p>
        </w:tc>
        <w:tc>
          <w:tcPr>
            <w:tcW w:w="8080" w:type="dxa"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patients with 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2 attacks </w:t>
            </w:r>
            <w:r w:rsidR="007F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before </w:t>
            </w: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the index date and ARR &lt;</w:t>
            </w:r>
            <w:r w:rsidR="00B7033E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</w:t>
            </w:r>
          </w:p>
        </w:tc>
      </w:tr>
      <w:tr w:rsidR="009A0BA5" w:rsidRPr="009A0BA5" w:rsidTr="001F02E9">
        <w:tc>
          <w:tcPr>
            <w:tcW w:w="2830" w:type="dxa"/>
            <w:vMerge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="00B7033E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</w:t>
            </w:r>
          </w:p>
        </w:tc>
        <w:tc>
          <w:tcPr>
            <w:tcW w:w="8080" w:type="dxa"/>
          </w:tcPr>
          <w:p w:rsidR="00C16507" w:rsidRPr="009A0BA5" w:rsidRDefault="00C16507" w:rsidP="001E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patients with 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2 attacks </w:t>
            </w:r>
            <w:r w:rsidR="007F2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before</w:t>
            </w: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the index date and ARR 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="00B7033E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</w:t>
            </w:r>
          </w:p>
        </w:tc>
      </w:tr>
    </w:tbl>
    <w:p w:rsidR="002E1E4A" w:rsidRPr="009A0BA5" w:rsidRDefault="00421B38" w:rsidP="00C33059">
      <w:pPr>
        <w:rPr>
          <w:rFonts w:ascii="Times New Roman" w:hAnsi="Times New Roman" w:cs="Times New Roman"/>
          <w:color w:val="000000" w:themeColor="text1"/>
          <w:sz w:val="20"/>
        </w:rPr>
      </w:pPr>
      <w:r w:rsidRPr="009A0BA5">
        <w:rPr>
          <w:rFonts w:ascii="Times New Roman" w:hAnsi="Times New Roman" w:cs="Times New Roman"/>
          <w:color w:val="000000" w:themeColor="text1"/>
        </w:rPr>
        <w:t>a</w:t>
      </w:r>
      <w:r w:rsidR="00C33059" w:rsidRPr="009A0BA5">
        <w:rPr>
          <w:rFonts w:ascii="Times New Roman" w:hAnsi="Times New Roman" w:cs="Times New Roman"/>
          <w:color w:val="000000" w:themeColor="text1"/>
        </w:rPr>
        <w:t xml:space="preserve"> </w:t>
      </w:r>
      <w:r w:rsidR="00C33059" w:rsidRPr="009A0BA5">
        <w:rPr>
          <w:rFonts w:ascii="Times New Roman" w:hAnsi="Times New Roman" w:cs="Times New Roman"/>
          <w:color w:val="000000" w:themeColor="text1"/>
          <w:sz w:val="20"/>
        </w:rPr>
        <w:t xml:space="preserve">Patients in MOG cohort received any or any combination of the above three drugs, or none of the above. All medication history and adverse effects were recorded. </w:t>
      </w:r>
      <w:proofErr w:type="spellStart"/>
      <w:r w:rsidR="00C33059" w:rsidRPr="009A0BA5">
        <w:rPr>
          <w:rFonts w:ascii="Times New Roman" w:hAnsi="Times New Roman" w:cs="Times New Roman"/>
          <w:color w:val="000000" w:themeColor="text1"/>
          <w:sz w:val="20"/>
        </w:rPr>
        <w:t>Discountinuation</w:t>
      </w:r>
      <w:proofErr w:type="spellEnd"/>
      <w:r w:rsidR="00C33059" w:rsidRPr="009A0BA5">
        <w:rPr>
          <w:rFonts w:ascii="Times New Roman" w:hAnsi="Times New Roman" w:cs="Times New Roman"/>
          <w:color w:val="000000" w:themeColor="text1"/>
          <w:sz w:val="20"/>
        </w:rPr>
        <w:t xml:space="preserve"> of oral prednisone and reasons would be recorded.</w:t>
      </w:r>
    </w:p>
    <w:p w:rsidR="00421B38" w:rsidRPr="009A0BA5" w:rsidRDefault="00421B38" w:rsidP="00C33059">
      <w:pPr>
        <w:rPr>
          <w:rFonts w:ascii="Times New Roman" w:hAnsi="Times New Roman" w:cs="Times New Roman"/>
          <w:color w:val="000000" w:themeColor="text1"/>
        </w:rPr>
      </w:pPr>
      <w:r w:rsidRPr="009A0BA5">
        <w:rPr>
          <w:rFonts w:ascii="Times New Roman" w:hAnsi="Times New Roman" w:cs="Times New Roman" w:hint="eastAsia"/>
          <w:color w:val="000000" w:themeColor="text1"/>
          <w:sz w:val="20"/>
        </w:rPr>
        <w:t>b</w:t>
      </w:r>
      <w:r w:rsidRPr="009A0BA5">
        <w:rPr>
          <w:rFonts w:ascii="Times New Roman" w:hAnsi="Times New Roman" w:cs="Times New Roman"/>
          <w:color w:val="000000" w:themeColor="text1"/>
          <w:sz w:val="20"/>
        </w:rPr>
        <w:t xml:space="preserve"> The intravenous high-dose methylprednisolone was calculated by weight in children</w:t>
      </w:r>
      <w:r w:rsidR="00F038BE" w:rsidRPr="009A0BA5">
        <w:rPr>
          <w:rFonts w:ascii="Times New Roman" w:hAnsi="Times New Roman" w:cs="Times New Roman"/>
          <w:color w:val="000000" w:themeColor="text1"/>
          <w:sz w:val="20"/>
        </w:rPr>
        <w:t xml:space="preserve"> (30mg/kg/day)</w:t>
      </w:r>
      <w:r w:rsidRPr="009A0BA5">
        <w:rPr>
          <w:rFonts w:ascii="Times New Roman" w:hAnsi="Times New Roman" w:cs="Times New Roman"/>
          <w:color w:val="000000" w:themeColor="text1"/>
          <w:sz w:val="20"/>
        </w:rPr>
        <w:t>, whose upper limit was 1000mg/day.</w:t>
      </w:r>
    </w:p>
    <w:p w:rsidR="00C16507" w:rsidRPr="009A0BA5" w:rsidRDefault="00421B38" w:rsidP="00C33059">
      <w:pPr>
        <w:rPr>
          <w:rFonts w:ascii="Times New Roman" w:hAnsi="Times New Roman" w:cs="Times New Roman"/>
          <w:color w:val="000000" w:themeColor="text1"/>
          <w:sz w:val="20"/>
        </w:rPr>
        <w:sectPr w:rsidR="00C16507" w:rsidRPr="009A0BA5" w:rsidSect="00F6339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A0BA5">
        <w:rPr>
          <w:rFonts w:ascii="Times New Roman" w:hAnsi="Times New Roman" w:cs="Times New Roman"/>
          <w:color w:val="000000" w:themeColor="text1"/>
        </w:rPr>
        <w:t>c</w:t>
      </w:r>
      <w:r w:rsidR="00C16507" w:rsidRPr="009A0BA5">
        <w:rPr>
          <w:rFonts w:ascii="Times New Roman" w:hAnsi="Times New Roman" w:cs="Times New Roman"/>
          <w:color w:val="000000" w:themeColor="text1"/>
        </w:rPr>
        <w:t xml:space="preserve"> </w:t>
      </w:r>
      <w:r w:rsidR="00C16507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ARR=Times of attacks </w:t>
      </w:r>
      <w:r w:rsidR="00DA2778">
        <w:rPr>
          <w:rFonts w:ascii="Times New Roman" w:hAnsi="Times New Roman" w:cs="Times New Roman"/>
          <w:color w:val="000000" w:themeColor="text1"/>
          <w:sz w:val="20"/>
          <w:szCs w:val="20"/>
        </w:rPr>
        <w:t>before</w:t>
      </w:r>
      <w:r w:rsidR="00C16507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index date/ Time interval from first onset </w:t>
      </w:r>
      <w:r w:rsidR="000D4CAC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date </w:t>
      </w:r>
      <w:r w:rsidR="00C16507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to index date</w:t>
      </w:r>
      <w:r w:rsidR="000D4CAC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only for patients with ≥ </w:t>
      </w:r>
      <w:r w:rsidR="000D4CAC" w:rsidRPr="009A0BA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2 attacks </w:t>
      </w:r>
      <w:r w:rsidR="00DA2778">
        <w:rPr>
          <w:rFonts w:ascii="Times New Roman" w:hAnsi="Times New Roman" w:cs="Times New Roman"/>
          <w:color w:val="000000" w:themeColor="text1"/>
          <w:sz w:val="20"/>
          <w:szCs w:val="20"/>
        </w:rPr>
        <w:t>before</w:t>
      </w:r>
      <w:r w:rsidR="000D4CAC" w:rsidRPr="009A0BA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the index dat</w:t>
      </w:r>
      <w:r w:rsidR="00B7033E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</w:p>
    <w:p w:rsidR="00F0561B" w:rsidRPr="009A0BA5" w:rsidRDefault="00101DBB" w:rsidP="00106A5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A0BA5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T</w:t>
      </w:r>
      <w:r w:rsidR="006B45FC"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able </w:t>
      </w:r>
      <w:r w:rsidR="00514B3C" w:rsidRPr="009A0BA5">
        <w:rPr>
          <w:rFonts w:ascii="Times New Roman" w:hAnsi="Times New Roman" w:cs="Times New Roman"/>
          <w:b/>
          <w:color w:val="000000" w:themeColor="text1"/>
          <w:sz w:val="24"/>
        </w:rPr>
        <w:t>e-</w:t>
      </w:r>
      <w:r w:rsidR="002A1AAC" w:rsidRPr="009A0BA5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6B45FC" w:rsidRPr="009A0BA5">
        <w:rPr>
          <w:rFonts w:ascii="Times New Roman" w:hAnsi="Times New Roman" w:cs="Times New Roman"/>
          <w:b/>
          <w:color w:val="000000" w:themeColor="text1"/>
          <w:sz w:val="24"/>
        </w:rPr>
        <w:t>. Log rank test for the association between different confounders and disease relapse</w:t>
      </w:r>
      <w:r w:rsidR="00226BE8" w:rsidRPr="009A0BA5">
        <w:rPr>
          <w:rFonts w:ascii="Times New Roman" w:hAnsi="Times New Roman" w:cs="Times New Roman"/>
          <w:b/>
          <w:color w:val="000000" w:themeColor="text1"/>
          <w:sz w:val="24"/>
        </w:rPr>
        <w:t>, respectively</w:t>
      </w:r>
      <w:r w:rsidR="006B45FC" w:rsidRPr="009A0BA5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tbl>
      <w:tblPr>
        <w:tblStyle w:val="a9"/>
        <w:tblW w:w="7796" w:type="dxa"/>
        <w:tblInd w:w="1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551"/>
      </w:tblGrid>
      <w:tr w:rsidR="007F4046" w:rsidRPr="009A0BA5" w:rsidTr="00961D8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Confounders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 value</w:t>
            </w:r>
          </w:p>
        </w:tc>
      </w:tr>
      <w:tr w:rsidR="007F4046" w:rsidRPr="009A0BA5" w:rsidTr="00961D89">
        <w:tc>
          <w:tcPr>
            <w:tcW w:w="5245" w:type="dxa"/>
            <w:tcBorders>
              <w:top w:val="single" w:sz="4" w:space="0" w:color="auto"/>
            </w:tcBorders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Age </w:t>
            </w:r>
            <w:r w:rsidR="0067067F">
              <w:rPr>
                <w:rFonts w:ascii="Times New Roman" w:hAnsi="Times New Roman" w:cs="Times New Roman"/>
                <w:color w:val="000000" w:themeColor="text1"/>
                <w:sz w:val="20"/>
              </w:rPr>
              <w:t>type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at first onset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0.486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Age </w:t>
            </w:r>
            <w:r w:rsidR="0067067F">
              <w:rPr>
                <w:rFonts w:ascii="Times New Roman" w:hAnsi="Times New Roman" w:cs="Times New Roman"/>
                <w:color w:val="000000" w:themeColor="text1"/>
                <w:sz w:val="20"/>
              </w:rPr>
              <w:t>type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at index date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0.566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Sex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0.286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Prodrome to first onset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0.551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Prodrome to index onset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0.985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First onset type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0.413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Index onset type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0.632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4F14BE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Disease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course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0.429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52665D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L</w:t>
            </w: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evel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</w:t>
            </w:r>
            <w:r w:rsidR="007F4046" w:rsidRPr="009A0BA5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A</w:t>
            </w:r>
            <w:r w:rsidR="007F4046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RR </w:t>
            </w:r>
            <w:r w:rsidR="00DA1163">
              <w:rPr>
                <w:rFonts w:ascii="Times New Roman" w:hAnsi="Times New Roman" w:cs="Times New Roman"/>
                <w:color w:val="000000" w:themeColor="text1"/>
                <w:sz w:val="20"/>
              </w:rPr>
              <w:t>before</w:t>
            </w:r>
            <w:r w:rsidR="007F4046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index date</w:t>
            </w:r>
            <w:r w:rsidR="00101DBB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F4046" w:rsidRPr="009A0BA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0.685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9A0BA5" w:rsidRDefault="0052665D" w:rsidP="00961D89">
            <w:pPr>
              <w:ind w:right="-119"/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Level of </w:t>
            </w:r>
            <w:r w:rsidR="007F4046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Initial MOG-IgG </w:t>
            </w:r>
            <w:r w:rsidR="007C34B2"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titer </w:t>
            </w:r>
            <w:r w:rsidR="007F4046" w:rsidRPr="009A0BA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0.114</w:t>
            </w:r>
          </w:p>
        </w:tc>
      </w:tr>
      <w:tr w:rsidR="007F4046" w:rsidRPr="009A0BA5" w:rsidTr="00961D89">
        <w:tc>
          <w:tcPr>
            <w:tcW w:w="5245" w:type="dxa"/>
          </w:tcPr>
          <w:p w:rsidR="007F4046" w:rsidRPr="00F20D8D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Time from first onset to index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date</w:t>
            </w:r>
            <w:r w:rsidR="00F20D8D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2551" w:type="dxa"/>
          </w:tcPr>
          <w:p w:rsidR="007F4046" w:rsidRPr="009A0BA5" w:rsidRDefault="007F4046" w:rsidP="00961D89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</w:rPr>
              <w:t>0.979</w:t>
            </w:r>
          </w:p>
        </w:tc>
      </w:tr>
    </w:tbl>
    <w:p w:rsidR="007F4046" w:rsidRPr="009A0BA5" w:rsidRDefault="007F4046" w:rsidP="007F4046">
      <w:pPr>
        <w:rPr>
          <w:rFonts w:ascii="Times New Roman" w:hAnsi="Times New Roman" w:cs="Times New Roman"/>
          <w:color w:val="000000" w:themeColor="text1"/>
          <w:sz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MOG-IgG: myelin oligodendrocyte glycoprotein </w:t>
      </w:r>
      <w:r w:rsidR="008028B5" w:rsidRPr="008028B5">
        <w:rPr>
          <w:rFonts w:ascii="Times New Roman" w:hAnsi="Times New Roman" w:cs="Times New Roman"/>
          <w:color w:val="000000" w:themeColor="text1"/>
          <w:sz w:val="20"/>
          <w:szCs w:val="16"/>
        </w:rPr>
        <w:t>Immunoglobulin G</w:t>
      </w:r>
      <w:bookmarkStart w:id="0" w:name="_GoBack"/>
      <w:bookmarkEnd w:id="0"/>
      <w:r w:rsidRPr="009A0BA5">
        <w:rPr>
          <w:rFonts w:ascii="Times New Roman" w:hAnsi="Times New Roman" w:cs="Times New Roman"/>
          <w:color w:val="000000" w:themeColor="text1"/>
          <w:sz w:val="20"/>
          <w:szCs w:val="16"/>
        </w:rPr>
        <w:t>; NA: not applicable.</w:t>
      </w:r>
    </w:p>
    <w:p w:rsidR="007F4046" w:rsidRPr="009A0BA5" w:rsidRDefault="007F4046" w:rsidP="007F4046">
      <w:pPr>
        <w:rPr>
          <w:rFonts w:ascii="Times New Roman" w:hAnsi="Times New Roman" w:cs="Times New Roman"/>
          <w:color w:val="000000" w:themeColor="text1"/>
          <w:sz w:val="16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9A0BA5">
        <w:rPr>
          <w:rFonts w:ascii="Times New Roman" w:hAnsi="Times New Roman" w:cs="Times New Roman"/>
          <w:color w:val="000000" w:themeColor="text1"/>
          <w:sz w:val="20"/>
        </w:rPr>
        <w:t>ARR: annual relapse rate</w:t>
      </w:r>
    </w:p>
    <w:p w:rsidR="007F4046" w:rsidRDefault="007F4046" w:rsidP="007F4046">
      <w:pPr>
        <w:rPr>
          <w:rFonts w:ascii="Times New Roman" w:hAnsi="Times New Roman" w:cs="Times New Roman"/>
          <w:color w:val="000000" w:themeColor="text1"/>
          <w:sz w:val="20"/>
        </w:rPr>
      </w:pPr>
      <w:r w:rsidRPr="009A0BA5">
        <w:rPr>
          <w:rFonts w:ascii="Times New Roman" w:hAnsi="Times New Roman" w:cs="Times New Roman"/>
          <w:color w:val="000000" w:themeColor="text1"/>
          <w:shd w:val="clear" w:color="auto" w:fill="FFFFFF"/>
        </w:rPr>
        <w:t>b</w:t>
      </w:r>
      <w:r w:rsidRPr="009A0BA5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EE22FD" w:rsidRPr="009A0BA5">
        <w:rPr>
          <w:rFonts w:ascii="Times New Roman" w:hAnsi="Times New Roman" w:cs="Times New Roman"/>
          <w:color w:val="000000" w:themeColor="text1"/>
          <w:sz w:val="20"/>
        </w:rPr>
        <w:t>Two</w:t>
      </w:r>
      <w:r w:rsidRPr="009A0BA5">
        <w:rPr>
          <w:rFonts w:ascii="Times New Roman" w:hAnsi="Times New Roman" w:cs="Times New Roman"/>
          <w:color w:val="000000" w:themeColor="text1"/>
          <w:sz w:val="20"/>
        </w:rPr>
        <w:t xml:space="preserve"> missing datapoints </w:t>
      </w:r>
    </w:p>
    <w:p w:rsidR="00F20D8D" w:rsidRPr="009A0BA5" w:rsidRDefault="00F20D8D" w:rsidP="007F4046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 w:hint="eastAsia"/>
          <w:color w:val="000000" w:themeColor="text1"/>
          <w:sz w:val="20"/>
        </w:rPr>
        <w:t>c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&lt;1000 days vs. </w:t>
      </w:r>
      <w:r w:rsidRPr="00F20D8D">
        <w:rPr>
          <w:rFonts w:ascii="Times New Roman" w:hAnsi="Times New Roman" w:cs="Times New Roman"/>
          <w:color w:val="000000" w:themeColor="text1"/>
          <w:sz w:val="20"/>
        </w:rPr>
        <w:t>≥1</w:t>
      </w:r>
      <w:r>
        <w:rPr>
          <w:rFonts w:ascii="Times New Roman" w:hAnsi="Times New Roman" w:cs="Times New Roman"/>
          <w:color w:val="000000" w:themeColor="text1"/>
          <w:sz w:val="20"/>
        </w:rPr>
        <w:t>000</w:t>
      </w:r>
      <w:r>
        <w:rPr>
          <w:rFonts w:ascii="Times New Roman" w:hAnsi="Times New Roman" w:cs="Times New Roman" w:hint="eastAsia"/>
          <w:color w:val="000000" w:themeColor="text1"/>
          <w:sz w:val="20"/>
        </w:rPr>
        <w:t>days</w:t>
      </w:r>
    </w:p>
    <w:p w:rsidR="006929E5" w:rsidRPr="009A0BA5" w:rsidRDefault="006929E5" w:rsidP="00106A5A">
      <w:pPr>
        <w:rPr>
          <w:rFonts w:ascii="Times New Roman" w:hAnsi="Times New Roman" w:cs="Times New Roman"/>
          <w:color w:val="000000" w:themeColor="text1"/>
        </w:rPr>
        <w:sectPr w:rsidR="006929E5" w:rsidRPr="009A0BA5" w:rsidSect="002E1E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7F44" w:rsidRPr="009A0BA5" w:rsidRDefault="007E6B59" w:rsidP="00106A5A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9A0BA5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T</w:t>
      </w:r>
      <w:r w:rsidR="009B111E"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able </w:t>
      </w:r>
      <w:r w:rsidR="00514B3C" w:rsidRPr="009A0BA5">
        <w:rPr>
          <w:rFonts w:ascii="Times New Roman" w:hAnsi="Times New Roman" w:cs="Times New Roman"/>
          <w:b/>
          <w:color w:val="000000" w:themeColor="text1"/>
          <w:sz w:val="24"/>
        </w:rPr>
        <w:t>e-</w:t>
      </w:r>
      <w:r w:rsidR="00101DBB" w:rsidRPr="009A0BA5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="009B111E"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. Comparison of variables between initial MOG-IgG </w:t>
      </w:r>
      <w:r w:rsidR="007C34B2" w:rsidRPr="009A0BA5">
        <w:rPr>
          <w:rFonts w:ascii="Times New Roman" w:hAnsi="Times New Roman" w:cs="Times New Roman"/>
          <w:b/>
          <w:color w:val="000000" w:themeColor="text1"/>
          <w:sz w:val="24"/>
        </w:rPr>
        <w:t xml:space="preserve">titer </w:t>
      </w:r>
      <w:r w:rsidR="009B111E" w:rsidRPr="009A0BA5">
        <w:rPr>
          <w:rFonts w:ascii="Times New Roman" w:hAnsi="Times New Roman" w:cs="Times New Roman"/>
          <w:b/>
          <w:color w:val="000000" w:themeColor="text1"/>
          <w:sz w:val="24"/>
        </w:rPr>
        <w:t>&lt; 1:100 group and ≥ 1:100 group</w:t>
      </w:r>
    </w:p>
    <w:tbl>
      <w:tblPr>
        <w:tblStyle w:val="a9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980"/>
        <w:gridCol w:w="992"/>
      </w:tblGrid>
      <w:tr w:rsidR="007401F4" w:rsidRPr="009A0BA5" w:rsidTr="00961D89">
        <w:tc>
          <w:tcPr>
            <w:tcW w:w="3402" w:type="dxa"/>
            <w:tcBorders>
              <w:top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  <w:tcBorders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Characteristic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1:100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≥1:100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1F4" w:rsidRPr="009A0BA5" w:rsidRDefault="007401F4" w:rsidP="00961D89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9A0B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7401F4" w:rsidRPr="009A0BA5" w:rsidTr="00961D89">
        <w:tc>
          <w:tcPr>
            <w:tcW w:w="3402" w:type="dxa"/>
            <w:tcBorders>
              <w:top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Case, n (%)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(37.7)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(62.3)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at first onset, years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 (7.0-31.5)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 (7.0-25.</w:t>
            </w:r>
            <w:r w:rsidR="00B40A97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B40A97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701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Adult at first onset, n (%)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(41.4)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(62.5)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0.071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at index date, years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 (9.5-33.0)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B40A97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(10.0-29.</w:t>
            </w:r>
            <w:r w:rsidR="00B40A97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B40A97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Adult at index date, n (%)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(51.7)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(68.8)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0.135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Female, N (%)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(55.2)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(62.5)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690FDE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Prodrome to first onset, n (%)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0.819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None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20.7)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(27.1)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rPr>
          <w:trHeight w:val="357"/>
        </w:trPr>
        <w:tc>
          <w:tcPr>
            <w:tcW w:w="3402" w:type="dxa"/>
          </w:tcPr>
          <w:p w:rsidR="007401F4" w:rsidRPr="009A0BA5" w:rsidRDefault="007401F4" w:rsidP="00961D8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Preceding infection/vaccination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(65.5)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(60.4)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rPr>
          <w:trHeight w:val="357"/>
        </w:trPr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Other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(13.8)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(12.5)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rPr>
          <w:trHeight w:val="357"/>
        </w:trPr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Prodrome to index onset, n (%)</w:t>
            </w:r>
            <w:r w:rsidRPr="009A0BA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0.121</w:t>
            </w:r>
          </w:p>
        </w:tc>
      </w:tr>
      <w:tr w:rsidR="007401F4" w:rsidRPr="009A0BA5" w:rsidTr="00961D89">
        <w:trPr>
          <w:trHeight w:val="357"/>
        </w:trPr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None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(41.4)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(41.7)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rPr>
          <w:trHeight w:val="357"/>
        </w:trPr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Preceding infection/vaccination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(55.2)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(39.6)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rPr>
          <w:trHeight w:val="357"/>
        </w:trPr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Other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(3.4)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(18.8)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First onset type, n (%)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0.668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Pure optic neuritis 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(31.0)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(37.5)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Pure cerebral involvement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(37.9)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(27.1)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Pure spinal involvement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(3.4)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(8.3)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Other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(27.6)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(27.1)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Index onset type, n (%)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d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0.713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Pure optic neuritis 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(37.9)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(37.5)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Pure cerebral involvement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(37.9)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(31.3)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Pure spinal involvement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(3.4)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(10.4)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Other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(20.7)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(20.8)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First-onset disease course, n (%)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(27.6)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(27.1)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0.962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ARR </w:t>
            </w:r>
            <w:r w:rsidR="00CD43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before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index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e</w:t>
            </w:r>
            <w:proofErr w:type="spellEnd"/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0.882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(27.6)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(27.1)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&lt;</w:t>
            </w:r>
            <w:r w:rsidR="0019522B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9522B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(48.3)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(43.8)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≥</w:t>
            </w:r>
            <w:r w:rsidR="0019522B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3.0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(24.1)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(29.2)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Acute therapy type, n (%)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vertAlign w:val="superscript"/>
              </w:rPr>
              <w:t>f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0.860</w:t>
            </w: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Methylprednisolone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</w:t>
            </w:r>
            <w:r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72.4)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(72.9)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Immunogloblin</w:t>
            </w:r>
            <w:proofErr w:type="spellEnd"/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(20.7)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(22.9)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Other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(6.9)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(4.2)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1F4" w:rsidRPr="009A0BA5" w:rsidTr="00961D89">
        <w:tc>
          <w:tcPr>
            <w:tcW w:w="340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 from first onset to test, days</w:t>
            </w:r>
            <w:r w:rsidR="007E6B59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B59" w:rsidRPr="009A0BA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843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199.0 (85.5-1262.5)</w:t>
            </w:r>
          </w:p>
        </w:tc>
        <w:tc>
          <w:tcPr>
            <w:tcW w:w="1980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377.0 (92.8-1459.3)</w:t>
            </w:r>
          </w:p>
        </w:tc>
        <w:tc>
          <w:tcPr>
            <w:tcW w:w="992" w:type="dxa"/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0.809</w:t>
            </w:r>
          </w:p>
        </w:tc>
      </w:tr>
      <w:tr w:rsidR="007401F4" w:rsidRPr="009A0BA5" w:rsidTr="00961D89">
        <w:tc>
          <w:tcPr>
            <w:tcW w:w="3402" w:type="dxa"/>
            <w:tcBorders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 from index onset to test, days</w:t>
            </w:r>
            <w:r w:rsidR="007E6B59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B59"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67.0 (21.5-196.5)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 (23.3-106.5)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1F4" w:rsidRPr="009A0BA5" w:rsidRDefault="007401F4" w:rsidP="00961D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0.521</w:t>
            </w:r>
          </w:p>
        </w:tc>
      </w:tr>
    </w:tbl>
    <w:p w:rsidR="00B17209" w:rsidRPr="009A0BA5" w:rsidRDefault="00B1720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IQR: interquartile range; MOG-IgG: myelin oligodendrocyte glycoprotein antibody; NA: not applicable.</w:t>
      </w:r>
    </w:p>
    <w:p w:rsidR="00B17209" w:rsidRPr="009A0BA5" w:rsidRDefault="00B1720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A0BA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a</w:t>
      </w:r>
      <w:proofErr w:type="spellEnd"/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Other includes 3 patients with pregnancy/lactation, and </w:t>
      </w:r>
      <w:r w:rsidR="00A97C6D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fatigue/ poor sleep/ tension.</w:t>
      </w:r>
    </w:p>
    <w:p w:rsidR="00B17209" w:rsidRPr="009A0BA5" w:rsidRDefault="00B1720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b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Other includes </w:t>
      </w:r>
      <w:r w:rsidR="00A97C6D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patients with pregnancy/lactation, 4 with fatigue/ poor sleep/ tension, and </w:t>
      </w:r>
      <w:r w:rsidR="00A97C6D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</w:t>
      </w:r>
      <w:proofErr w:type="spellStart"/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discountinuation</w:t>
      </w:r>
      <w:proofErr w:type="spellEnd"/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prednisone.</w:t>
      </w:r>
    </w:p>
    <w:p w:rsidR="00B17209" w:rsidRPr="009A0BA5" w:rsidRDefault="00B1720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lastRenderedPageBreak/>
        <w:t>c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Other includes 9 with cerebellum/brain stem involvement, 4 with optic neuritis (ON) and </w:t>
      </w:r>
      <w:r w:rsidR="00E932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cerebrum 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involvement, 3 with myelitis and cerebrum involvement, 2 with ON and myelitis, 2 with cerebellum/brain stem and cerebrum involvement, and 1 with meningitis.</w:t>
      </w:r>
    </w:p>
    <w:p w:rsidR="00B17209" w:rsidRPr="009A0BA5" w:rsidRDefault="00B1720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Other includes 9 with cerebellum/brain stem involvement, 1 with ON and </w:t>
      </w:r>
      <w:r w:rsidR="00E93220">
        <w:rPr>
          <w:rFonts w:ascii="Times New Roman" w:hAnsi="Times New Roman" w:cs="Times New Roman"/>
          <w:color w:val="000000" w:themeColor="text1"/>
          <w:sz w:val="20"/>
          <w:szCs w:val="20"/>
        </w:rPr>
        <w:t>cerebrum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involvement, 1 with myelitis and cerebrum involvement, 2 with ON and myelitis, 2 with cerebellum/brain stem and cerebrum involvement, and 1 for asymptomatic but with new lesion on brain MRI.</w:t>
      </w:r>
    </w:p>
    <w:p w:rsidR="00B17209" w:rsidRPr="009A0BA5" w:rsidRDefault="00B1720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e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Annual relapse rate</w:t>
      </w:r>
    </w:p>
    <w:p w:rsidR="00B17209" w:rsidRPr="009A0BA5" w:rsidRDefault="00B1720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f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3D38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Acute therapy type for index onset. </w:t>
      </w:r>
      <w:proofErr w:type="spellStart"/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Immunogloblin</w:t>
      </w:r>
      <w:proofErr w:type="spellEnd"/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includes intravenous </w:t>
      </w:r>
      <w:proofErr w:type="spellStart"/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immunogloblin</w:t>
      </w:r>
      <w:proofErr w:type="spellEnd"/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online supplementary Table </w:t>
      </w:r>
      <w:r w:rsidR="00400EF9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e-</w:t>
      </w:r>
      <w:r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1, with or without intravenous high-dose methylprednisolone.</w:t>
      </w:r>
    </w:p>
    <w:p w:rsidR="00B17209" w:rsidRPr="009A0BA5" w:rsidRDefault="007E6B59" w:rsidP="00B172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0BA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g</w:t>
      </w:r>
      <w:r w:rsidR="00B17209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Date of test =index date</w:t>
      </w:r>
    </w:p>
    <w:p w:rsidR="00F76557" w:rsidRPr="009A0BA5" w:rsidRDefault="007E6B59" w:rsidP="00101DBB">
      <w:pPr>
        <w:rPr>
          <w:rFonts w:ascii="Times New Roman" w:hAnsi="Times New Roman" w:cs="Times New Roman"/>
          <w:color w:val="000000" w:themeColor="text1"/>
          <w:sz w:val="16"/>
        </w:rPr>
      </w:pPr>
      <w:r w:rsidRPr="009A0BA5">
        <w:rPr>
          <w:rFonts w:ascii="Times New Roman" w:hAnsi="Times New Roman" w:cs="Times New Roman"/>
          <w:color w:val="000000" w:themeColor="text1"/>
          <w:shd w:val="clear" w:color="auto" w:fill="FFFFFF"/>
        </w:rPr>
        <w:t>h</w:t>
      </w:r>
      <w:r w:rsidR="00B17209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Date of test =index</w:t>
      </w:r>
      <w:r w:rsidR="004B1F6B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dat</w:t>
      </w:r>
      <w:r w:rsidR="00101DBB" w:rsidRPr="009A0BA5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</w:p>
    <w:sectPr w:rsidR="00F76557" w:rsidRPr="009A0BA5" w:rsidSect="002E1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64" w:rsidRDefault="00F36D64" w:rsidP="00106A5A">
      <w:r>
        <w:separator/>
      </w:r>
    </w:p>
  </w:endnote>
  <w:endnote w:type="continuationSeparator" w:id="0">
    <w:p w:rsidR="00F36D64" w:rsidRDefault="00F36D64" w:rsidP="001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Pro-Condense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81653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8B0" w:rsidRPr="003E7334" w:rsidRDefault="002978B0">
        <w:pPr>
          <w:pStyle w:val="a5"/>
          <w:jc w:val="right"/>
          <w:rPr>
            <w:rFonts w:ascii="Times New Roman" w:hAnsi="Times New Roman" w:cs="Times New Roman"/>
          </w:rPr>
        </w:pPr>
        <w:r w:rsidRPr="003E7334">
          <w:rPr>
            <w:rFonts w:ascii="Times New Roman" w:hAnsi="Times New Roman" w:cs="Times New Roman"/>
          </w:rPr>
          <w:fldChar w:fldCharType="begin"/>
        </w:r>
        <w:r w:rsidRPr="003E7334">
          <w:rPr>
            <w:rFonts w:ascii="Times New Roman" w:hAnsi="Times New Roman" w:cs="Times New Roman"/>
          </w:rPr>
          <w:instrText xml:space="preserve"> PAGE   \* MERGEFORMAT </w:instrText>
        </w:r>
        <w:r w:rsidRPr="003E7334">
          <w:rPr>
            <w:rFonts w:ascii="Times New Roman" w:hAnsi="Times New Roman" w:cs="Times New Roman"/>
          </w:rPr>
          <w:fldChar w:fldCharType="separate"/>
        </w:r>
        <w:r w:rsidRPr="003E7334">
          <w:rPr>
            <w:rFonts w:ascii="Times New Roman" w:hAnsi="Times New Roman" w:cs="Times New Roman"/>
            <w:noProof/>
          </w:rPr>
          <w:t>18</w:t>
        </w:r>
        <w:r w:rsidRPr="003E733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978B0" w:rsidRDefault="00297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64" w:rsidRDefault="00F36D64" w:rsidP="00106A5A">
      <w:r>
        <w:separator/>
      </w:r>
    </w:p>
  </w:footnote>
  <w:footnote w:type="continuationSeparator" w:id="0">
    <w:p w:rsidR="00F36D64" w:rsidRDefault="00F36D64" w:rsidP="0010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D9E"/>
    <w:multiLevelType w:val="hybridMultilevel"/>
    <w:tmpl w:val="5648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B24"/>
    <w:multiLevelType w:val="hybridMultilevel"/>
    <w:tmpl w:val="F41E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4E"/>
    <w:multiLevelType w:val="hybridMultilevel"/>
    <w:tmpl w:val="562C4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D3B"/>
    <w:multiLevelType w:val="hybridMultilevel"/>
    <w:tmpl w:val="D5F83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74CF"/>
    <w:multiLevelType w:val="hybridMultilevel"/>
    <w:tmpl w:val="29C24256"/>
    <w:lvl w:ilvl="0" w:tplc="63ECB7F8">
      <w:numFmt w:val="bullet"/>
      <w:lvlText w:val="﷐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FD"/>
    <w:rsid w:val="00000C30"/>
    <w:rsid w:val="00006239"/>
    <w:rsid w:val="00007F71"/>
    <w:rsid w:val="000105A3"/>
    <w:rsid w:val="00010C47"/>
    <w:rsid w:val="000148ED"/>
    <w:rsid w:val="000177A1"/>
    <w:rsid w:val="00021C39"/>
    <w:rsid w:val="00030862"/>
    <w:rsid w:val="000348EC"/>
    <w:rsid w:val="00035C0C"/>
    <w:rsid w:val="00035C6B"/>
    <w:rsid w:val="00037907"/>
    <w:rsid w:val="000417DF"/>
    <w:rsid w:val="00054076"/>
    <w:rsid w:val="0006208C"/>
    <w:rsid w:val="000654C1"/>
    <w:rsid w:val="000703E5"/>
    <w:rsid w:val="00086934"/>
    <w:rsid w:val="000934D5"/>
    <w:rsid w:val="00096537"/>
    <w:rsid w:val="000A339A"/>
    <w:rsid w:val="000B045B"/>
    <w:rsid w:val="000B0B8E"/>
    <w:rsid w:val="000B1716"/>
    <w:rsid w:val="000C29A9"/>
    <w:rsid w:val="000C4597"/>
    <w:rsid w:val="000C4840"/>
    <w:rsid w:val="000C5C0C"/>
    <w:rsid w:val="000D2FAE"/>
    <w:rsid w:val="000D4CAC"/>
    <w:rsid w:val="000E1E32"/>
    <w:rsid w:val="000E41DD"/>
    <w:rsid w:val="000E7641"/>
    <w:rsid w:val="000F74D4"/>
    <w:rsid w:val="00101DBB"/>
    <w:rsid w:val="00106A5A"/>
    <w:rsid w:val="00116103"/>
    <w:rsid w:val="0012499D"/>
    <w:rsid w:val="00135424"/>
    <w:rsid w:val="00136D1A"/>
    <w:rsid w:val="001439A0"/>
    <w:rsid w:val="0015251F"/>
    <w:rsid w:val="00177271"/>
    <w:rsid w:val="0017767A"/>
    <w:rsid w:val="0017774A"/>
    <w:rsid w:val="0018324A"/>
    <w:rsid w:val="00184B4D"/>
    <w:rsid w:val="00187653"/>
    <w:rsid w:val="00193C95"/>
    <w:rsid w:val="0019522B"/>
    <w:rsid w:val="001A043F"/>
    <w:rsid w:val="001B21ED"/>
    <w:rsid w:val="001B4E93"/>
    <w:rsid w:val="001B79F4"/>
    <w:rsid w:val="001C5AD1"/>
    <w:rsid w:val="001E33B9"/>
    <w:rsid w:val="001E37BB"/>
    <w:rsid w:val="001E50DD"/>
    <w:rsid w:val="001F02E9"/>
    <w:rsid w:val="001F09C0"/>
    <w:rsid w:val="001F4752"/>
    <w:rsid w:val="0020499E"/>
    <w:rsid w:val="00214BB5"/>
    <w:rsid w:val="00226BE8"/>
    <w:rsid w:val="002473BC"/>
    <w:rsid w:val="00251BDA"/>
    <w:rsid w:val="002552F5"/>
    <w:rsid w:val="00273DB8"/>
    <w:rsid w:val="002747F9"/>
    <w:rsid w:val="002759AF"/>
    <w:rsid w:val="00282B37"/>
    <w:rsid w:val="00292599"/>
    <w:rsid w:val="002978B0"/>
    <w:rsid w:val="002A1AAC"/>
    <w:rsid w:val="002A1E14"/>
    <w:rsid w:val="002A3975"/>
    <w:rsid w:val="002A6943"/>
    <w:rsid w:val="002B0BE2"/>
    <w:rsid w:val="002B30DF"/>
    <w:rsid w:val="002D3AC2"/>
    <w:rsid w:val="002D442B"/>
    <w:rsid w:val="002D7DC8"/>
    <w:rsid w:val="002E040B"/>
    <w:rsid w:val="002E1E4A"/>
    <w:rsid w:val="002F7B39"/>
    <w:rsid w:val="0031185B"/>
    <w:rsid w:val="003242AB"/>
    <w:rsid w:val="00327D69"/>
    <w:rsid w:val="00333319"/>
    <w:rsid w:val="003443CF"/>
    <w:rsid w:val="00350765"/>
    <w:rsid w:val="00350A3A"/>
    <w:rsid w:val="00351F91"/>
    <w:rsid w:val="00352649"/>
    <w:rsid w:val="00355495"/>
    <w:rsid w:val="00355CCE"/>
    <w:rsid w:val="0035626C"/>
    <w:rsid w:val="00364130"/>
    <w:rsid w:val="00371D27"/>
    <w:rsid w:val="003733C1"/>
    <w:rsid w:val="00377647"/>
    <w:rsid w:val="00387222"/>
    <w:rsid w:val="00392314"/>
    <w:rsid w:val="0039275A"/>
    <w:rsid w:val="0039537A"/>
    <w:rsid w:val="00395ED9"/>
    <w:rsid w:val="003A7F44"/>
    <w:rsid w:val="003B3912"/>
    <w:rsid w:val="003B585C"/>
    <w:rsid w:val="003B79D3"/>
    <w:rsid w:val="003B7B05"/>
    <w:rsid w:val="003C3536"/>
    <w:rsid w:val="003D310A"/>
    <w:rsid w:val="003D409B"/>
    <w:rsid w:val="003D7B82"/>
    <w:rsid w:val="003E7334"/>
    <w:rsid w:val="003F0109"/>
    <w:rsid w:val="003F3522"/>
    <w:rsid w:val="003F426B"/>
    <w:rsid w:val="00400EF9"/>
    <w:rsid w:val="00407311"/>
    <w:rsid w:val="00410A4B"/>
    <w:rsid w:val="00421B38"/>
    <w:rsid w:val="00423221"/>
    <w:rsid w:val="0042658C"/>
    <w:rsid w:val="00431C22"/>
    <w:rsid w:val="00437B9E"/>
    <w:rsid w:val="0044469D"/>
    <w:rsid w:val="00453B37"/>
    <w:rsid w:val="00466026"/>
    <w:rsid w:val="00470874"/>
    <w:rsid w:val="00472EFE"/>
    <w:rsid w:val="00474157"/>
    <w:rsid w:val="004759CB"/>
    <w:rsid w:val="004878C5"/>
    <w:rsid w:val="00490C59"/>
    <w:rsid w:val="004B1F6B"/>
    <w:rsid w:val="004B3529"/>
    <w:rsid w:val="004B3B3A"/>
    <w:rsid w:val="004B4327"/>
    <w:rsid w:val="004B53AA"/>
    <w:rsid w:val="004D2A57"/>
    <w:rsid w:val="004D3AEC"/>
    <w:rsid w:val="004E01E1"/>
    <w:rsid w:val="004E2D4B"/>
    <w:rsid w:val="004E2F2A"/>
    <w:rsid w:val="004E4ABB"/>
    <w:rsid w:val="004E78C8"/>
    <w:rsid w:val="004F0274"/>
    <w:rsid w:val="004F14BE"/>
    <w:rsid w:val="004F1A04"/>
    <w:rsid w:val="004F2F10"/>
    <w:rsid w:val="0050443A"/>
    <w:rsid w:val="00505B67"/>
    <w:rsid w:val="00512AC6"/>
    <w:rsid w:val="00514B3C"/>
    <w:rsid w:val="005153FC"/>
    <w:rsid w:val="00522F37"/>
    <w:rsid w:val="0052665D"/>
    <w:rsid w:val="00527F5D"/>
    <w:rsid w:val="0053758E"/>
    <w:rsid w:val="00540CBD"/>
    <w:rsid w:val="00547F9E"/>
    <w:rsid w:val="00560112"/>
    <w:rsid w:val="00571570"/>
    <w:rsid w:val="00575898"/>
    <w:rsid w:val="005A1680"/>
    <w:rsid w:val="005A2FAC"/>
    <w:rsid w:val="005C0E71"/>
    <w:rsid w:val="005C58BA"/>
    <w:rsid w:val="005C6A80"/>
    <w:rsid w:val="005D424C"/>
    <w:rsid w:val="005D6979"/>
    <w:rsid w:val="005E07E9"/>
    <w:rsid w:val="005F0710"/>
    <w:rsid w:val="005F14FD"/>
    <w:rsid w:val="0060005A"/>
    <w:rsid w:val="006046AE"/>
    <w:rsid w:val="00605728"/>
    <w:rsid w:val="00606244"/>
    <w:rsid w:val="00606F47"/>
    <w:rsid w:val="006170FC"/>
    <w:rsid w:val="00624492"/>
    <w:rsid w:val="0063311C"/>
    <w:rsid w:val="006336C8"/>
    <w:rsid w:val="006374B1"/>
    <w:rsid w:val="00652312"/>
    <w:rsid w:val="00653B7B"/>
    <w:rsid w:val="006541CD"/>
    <w:rsid w:val="006624F8"/>
    <w:rsid w:val="00662F5F"/>
    <w:rsid w:val="00666D80"/>
    <w:rsid w:val="0067067F"/>
    <w:rsid w:val="006817FF"/>
    <w:rsid w:val="00690FDE"/>
    <w:rsid w:val="006929E5"/>
    <w:rsid w:val="006934BD"/>
    <w:rsid w:val="0069611D"/>
    <w:rsid w:val="006A161B"/>
    <w:rsid w:val="006A7359"/>
    <w:rsid w:val="006A7DFB"/>
    <w:rsid w:val="006B45FC"/>
    <w:rsid w:val="006B680C"/>
    <w:rsid w:val="006C113C"/>
    <w:rsid w:val="006C37DF"/>
    <w:rsid w:val="006C7C7A"/>
    <w:rsid w:val="006E2FF3"/>
    <w:rsid w:val="006E70CC"/>
    <w:rsid w:val="006F20A3"/>
    <w:rsid w:val="006F4B19"/>
    <w:rsid w:val="006F726B"/>
    <w:rsid w:val="007053B5"/>
    <w:rsid w:val="00712196"/>
    <w:rsid w:val="00712400"/>
    <w:rsid w:val="00717016"/>
    <w:rsid w:val="007237CD"/>
    <w:rsid w:val="007261BB"/>
    <w:rsid w:val="00726A56"/>
    <w:rsid w:val="007272D6"/>
    <w:rsid w:val="00727E17"/>
    <w:rsid w:val="007401F4"/>
    <w:rsid w:val="007527E7"/>
    <w:rsid w:val="00754F6B"/>
    <w:rsid w:val="007658CD"/>
    <w:rsid w:val="007765AE"/>
    <w:rsid w:val="007826D1"/>
    <w:rsid w:val="007831A8"/>
    <w:rsid w:val="00792705"/>
    <w:rsid w:val="007963D3"/>
    <w:rsid w:val="00797326"/>
    <w:rsid w:val="007B2A3F"/>
    <w:rsid w:val="007B724A"/>
    <w:rsid w:val="007C34B2"/>
    <w:rsid w:val="007C6FB7"/>
    <w:rsid w:val="007D1CC8"/>
    <w:rsid w:val="007E19D8"/>
    <w:rsid w:val="007E4507"/>
    <w:rsid w:val="007E6B59"/>
    <w:rsid w:val="007F23AE"/>
    <w:rsid w:val="007F303D"/>
    <w:rsid w:val="007F4046"/>
    <w:rsid w:val="007F6AE9"/>
    <w:rsid w:val="008028B5"/>
    <w:rsid w:val="00810CEC"/>
    <w:rsid w:val="00810F48"/>
    <w:rsid w:val="00817AD1"/>
    <w:rsid w:val="00820FFB"/>
    <w:rsid w:val="00826E7F"/>
    <w:rsid w:val="00844C63"/>
    <w:rsid w:val="00850825"/>
    <w:rsid w:val="008521C6"/>
    <w:rsid w:val="00856698"/>
    <w:rsid w:val="008707A5"/>
    <w:rsid w:val="008A0FB4"/>
    <w:rsid w:val="008C1638"/>
    <w:rsid w:val="008C1C7D"/>
    <w:rsid w:val="008D5153"/>
    <w:rsid w:val="008D6F39"/>
    <w:rsid w:val="008E23EC"/>
    <w:rsid w:val="008F1A64"/>
    <w:rsid w:val="008F352B"/>
    <w:rsid w:val="00916753"/>
    <w:rsid w:val="00923D70"/>
    <w:rsid w:val="00937704"/>
    <w:rsid w:val="0094216A"/>
    <w:rsid w:val="009458D5"/>
    <w:rsid w:val="0094655D"/>
    <w:rsid w:val="0094730A"/>
    <w:rsid w:val="00961947"/>
    <w:rsid w:val="00961D89"/>
    <w:rsid w:val="00976D3B"/>
    <w:rsid w:val="009A0BA5"/>
    <w:rsid w:val="009B111E"/>
    <w:rsid w:val="009B1AF8"/>
    <w:rsid w:val="009C6C80"/>
    <w:rsid w:val="009F20E8"/>
    <w:rsid w:val="009F2154"/>
    <w:rsid w:val="009F3DE6"/>
    <w:rsid w:val="00A12C78"/>
    <w:rsid w:val="00A13D38"/>
    <w:rsid w:val="00A14B2B"/>
    <w:rsid w:val="00A1587B"/>
    <w:rsid w:val="00A236F8"/>
    <w:rsid w:val="00A24072"/>
    <w:rsid w:val="00A26D95"/>
    <w:rsid w:val="00A30573"/>
    <w:rsid w:val="00A505CB"/>
    <w:rsid w:val="00A5525B"/>
    <w:rsid w:val="00A800E6"/>
    <w:rsid w:val="00A84DC5"/>
    <w:rsid w:val="00A91395"/>
    <w:rsid w:val="00A9399B"/>
    <w:rsid w:val="00A95499"/>
    <w:rsid w:val="00A955CD"/>
    <w:rsid w:val="00A95B80"/>
    <w:rsid w:val="00A97C6D"/>
    <w:rsid w:val="00AA1A56"/>
    <w:rsid w:val="00AB08A0"/>
    <w:rsid w:val="00AB3A8E"/>
    <w:rsid w:val="00AB48EF"/>
    <w:rsid w:val="00AC0894"/>
    <w:rsid w:val="00AC23C5"/>
    <w:rsid w:val="00AC48F7"/>
    <w:rsid w:val="00AD1F80"/>
    <w:rsid w:val="00AD2B7F"/>
    <w:rsid w:val="00AD5373"/>
    <w:rsid w:val="00AE47AE"/>
    <w:rsid w:val="00AE6CA9"/>
    <w:rsid w:val="00AF58D0"/>
    <w:rsid w:val="00B01AD9"/>
    <w:rsid w:val="00B03E2D"/>
    <w:rsid w:val="00B07E49"/>
    <w:rsid w:val="00B11DF3"/>
    <w:rsid w:val="00B159BE"/>
    <w:rsid w:val="00B168AD"/>
    <w:rsid w:val="00B17209"/>
    <w:rsid w:val="00B17A4D"/>
    <w:rsid w:val="00B20055"/>
    <w:rsid w:val="00B23595"/>
    <w:rsid w:val="00B23D3A"/>
    <w:rsid w:val="00B246BE"/>
    <w:rsid w:val="00B27F94"/>
    <w:rsid w:val="00B40461"/>
    <w:rsid w:val="00B40A97"/>
    <w:rsid w:val="00B433EA"/>
    <w:rsid w:val="00B44253"/>
    <w:rsid w:val="00B46370"/>
    <w:rsid w:val="00B6060F"/>
    <w:rsid w:val="00B63EC8"/>
    <w:rsid w:val="00B667F9"/>
    <w:rsid w:val="00B7033E"/>
    <w:rsid w:val="00B726D2"/>
    <w:rsid w:val="00B73439"/>
    <w:rsid w:val="00B73D72"/>
    <w:rsid w:val="00B7400D"/>
    <w:rsid w:val="00B74771"/>
    <w:rsid w:val="00B83B26"/>
    <w:rsid w:val="00B84792"/>
    <w:rsid w:val="00B90DC6"/>
    <w:rsid w:val="00B966D2"/>
    <w:rsid w:val="00BA1953"/>
    <w:rsid w:val="00BA1F42"/>
    <w:rsid w:val="00BA2C57"/>
    <w:rsid w:val="00BA6774"/>
    <w:rsid w:val="00BB3E05"/>
    <w:rsid w:val="00BC097B"/>
    <w:rsid w:val="00BC5AF9"/>
    <w:rsid w:val="00BD78EE"/>
    <w:rsid w:val="00BE0D11"/>
    <w:rsid w:val="00BF4292"/>
    <w:rsid w:val="00C0226A"/>
    <w:rsid w:val="00C02587"/>
    <w:rsid w:val="00C0325D"/>
    <w:rsid w:val="00C038D8"/>
    <w:rsid w:val="00C112F3"/>
    <w:rsid w:val="00C16507"/>
    <w:rsid w:val="00C17CA3"/>
    <w:rsid w:val="00C33059"/>
    <w:rsid w:val="00C330C3"/>
    <w:rsid w:val="00C364A8"/>
    <w:rsid w:val="00C46516"/>
    <w:rsid w:val="00C50726"/>
    <w:rsid w:val="00C56322"/>
    <w:rsid w:val="00C609C9"/>
    <w:rsid w:val="00C60AC9"/>
    <w:rsid w:val="00C85877"/>
    <w:rsid w:val="00C86730"/>
    <w:rsid w:val="00C86E6F"/>
    <w:rsid w:val="00C8786E"/>
    <w:rsid w:val="00C91DCF"/>
    <w:rsid w:val="00C92417"/>
    <w:rsid w:val="00CD0AB9"/>
    <w:rsid w:val="00CD32A7"/>
    <w:rsid w:val="00CD433A"/>
    <w:rsid w:val="00CD4651"/>
    <w:rsid w:val="00CD511E"/>
    <w:rsid w:val="00CD64AB"/>
    <w:rsid w:val="00CE16A4"/>
    <w:rsid w:val="00CE67EE"/>
    <w:rsid w:val="00CF1B4E"/>
    <w:rsid w:val="00CF497E"/>
    <w:rsid w:val="00CF54E5"/>
    <w:rsid w:val="00D05EC1"/>
    <w:rsid w:val="00D13751"/>
    <w:rsid w:val="00D13E0B"/>
    <w:rsid w:val="00D14E51"/>
    <w:rsid w:val="00D1731F"/>
    <w:rsid w:val="00D209A5"/>
    <w:rsid w:val="00D27E9F"/>
    <w:rsid w:val="00D27EED"/>
    <w:rsid w:val="00D47D18"/>
    <w:rsid w:val="00D51F53"/>
    <w:rsid w:val="00D523B6"/>
    <w:rsid w:val="00D741FC"/>
    <w:rsid w:val="00D742EA"/>
    <w:rsid w:val="00D75BF2"/>
    <w:rsid w:val="00D81CC5"/>
    <w:rsid w:val="00DA0B8F"/>
    <w:rsid w:val="00DA1163"/>
    <w:rsid w:val="00DA12C0"/>
    <w:rsid w:val="00DA183D"/>
    <w:rsid w:val="00DA2778"/>
    <w:rsid w:val="00DA41F1"/>
    <w:rsid w:val="00DA73DA"/>
    <w:rsid w:val="00DB4A97"/>
    <w:rsid w:val="00DB6883"/>
    <w:rsid w:val="00DD223C"/>
    <w:rsid w:val="00DE1E10"/>
    <w:rsid w:val="00DE6F84"/>
    <w:rsid w:val="00DF584C"/>
    <w:rsid w:val="00DF68DF"/>
    <w:rsid w:val="00DF6AF2"/>
    <w:rsid w:val="00E04BCF"/>
    <w:rsid w:val="00E04DB4"/>
    <w:rsid w:val="00E079E0"/>
    <w:rsid w:val="00E1472B"/>
    <w:rsid w:val="00E32C65"/>
    <w:rsid w:val="00E40CDD"/>
    <w:rsid w:val="00E43423"/>
    <w:rsid w:val="00E46D27"/>
    <w:rsid w:val="00E47258"/>
    <w:rsid w:val="00E50EEB"/>
    <w:rsid w:val="00E55273"/>
    <w:rsid w:val="00E57A17"/>
    <w:rsid w:val="00E75AFA"/>
    <w:rsid w:val="00E82875"/>
    <w:rsid w:val="00E82F04"/>
    <w:rsid w:val="00E83166"/>
    <w:rsid w:val="00E84AC1"/>
    <w:rsid w:val="00E84F71"/>
    <w:rsid w:val="00E900CD"/>
    <w:rsid w:val="00E93220"/>
    <w:rsid w:val="00E9389E"/>
    <w:rsid w:val="00E956F1"/>
    <w:rsid w:val="00E9633D"/>
    <w:rsid w:val="00EA3410"/>
    <w:rsid w:val="00EB77C3"/>
    <w:rsid w:val="00EB7AEE"/>
    <w:rsid w:val="00EC0394"/>
    <w:rsid w:val="00EC1F4A"/>
    <w:rsid w:val="00EC2BAE"/>
    <w:rsid w:val="00ED19B0"/>
    <w:rsid w:val="00ED3695"/>
    <w:rsid w:val="00EE22FD"/>
    <w:rsid w:val="00EF2261"/>
    <w:rsid w:val="00EF5D08"/>
    <w:rsid w:val="00EF67A7"/>
    <w:rsid w:val="00F038BE"/>
    <w:rsid w:val="00F0561B"/>
    <w:rsid w:val="00F20CC7"/>
    <w:rsid w:val="00F20D8D"/>
    <w:rsid w:val="00F213EC"/>
    <w:rsid w:val="00F25557"/>
    <w:rsid w:val="00F2794E"/>
    <w:rsid w:val="00F32D8D"/>
    <w:rsid w:val="00F33207"/>
    <w:rsid w:val="00F34E03"/>
    <w:rsid w:val="00F36285"/>
    <w:rsid w:val="00F36D64"/>
    <w:rsid w:val="00F37234"/>
    <w:rsid w:val="00F50DED"/>
    <w:rsid w:val="00F54674"/>
    <w:rsid w:val="00F5774D"/>
    <w:rsid w:val="00F627AE"/>
    <w:rsid w:val="00F6339B"/>
    <w:rsid w:val="00F720CD"/>
    <w:rsid w:val="00F729CD"/>
    <w:rsid w:val="00F73336"/>
    <w:rsid w:val="00F76557"/>
    <w:rsid w:val="00F82149"/>
    <w:rsid w:val="00F8230C"/>
    <w:rsid w:val="00F909B9"/>
    <w:rsid w:val="00F929CD"/>
    <w:rsid w:val="00FA4646"/>
    <w:rsid w:val="00FA594B"/>
    <w:rsid w:val="00FB0A5D"/>
    <w:rsid w:val="00FB22E9"/>
    <w:rsid w:val="00FB5E9F"/>
    <w:rsid w:val="00FC50E0"/>
    <w:rsid w:val="00FE452A"/>
    <w:rsid w:val="00FF0FFD"/>
    <w:rsid w:val="00FF4802"/>
    <w:rsid w:val="00FF5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51AF"/>
  <w15:chartTrackingRefBased/>
  <w15:docId w15:val="{B0C0786C-1022-4CAE-AAF1-8B6A641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5A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106A5A"/>
  </w:style>
  <w:style w:type="paragraph" w:styleId="a5">
    <w:name w:val="footer"/>
    <w:basedOn w:val="a"/>
    <w:link w:val="a6"/>
    <w:uiPriority w:val="99"/>
    <w:unhideWhenUsed/>
    <w:rsid w:val="00106A5A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106A5A"/>
  </w:style>
  <w:style w:type="paragraph" w:styleId="a7">
    <w:name w:val="Title"/>
    <w:basedOn w:val="a"/>
    <w:next w:val="a"/>
    <w:link w:val="a8"/>
    <w:uiPriority w:val="10"/>
    <w:qFormat/>
    <w:rsid w:val="0010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标题 字符"/>
    <w:basedOn w:val="a0"/>
    <w:link w:val="a7"/>
    <w:uiPriority w:val="10"/>
    <w:rsid w:val="0010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0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43CF"/>
    <w:pPr>
      <w:ind w:left="720"/>
      <w:contextualSpacing/>
    </w:pPr>
  </w:style>
  <w:style w:type="character" w:customStyle="1" w:styleId="fontstyle01">
    <w:name w:val="fontstyle01"/>
    <w:basedOn w:val="a0"/>
    <w:rsid w:val="006929E5"/>
    <w:rPr>
      <w:rFonts w:ascii="FrutigerLTPro-Condensed" w:hAnsi="FrutigerLTPro-Condensed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210A-0C20-054B-A349-E5B4797C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shengde</dc:creator>
  <cp:keywords/>
  <dc:description/>
  <cp:lastModifiedBy>Microsoft Office 用户</cp:lastModifiedBy>
  <cp:revision>412</cp:revision>
  <dcterms:created xsi:type="dcterms:W3CDTF">2019-05-04T11:38:00Z</dcterms:created>
  <dcterms:modified xsi:type="dcterms:W3CDTF">2020-03-05T00:24:00Z</dcterms:modified>
</cp:coreProperties>
</file>