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A293" w14:textId="744EDEA6" w:rsidR="0091594D" w:rsidRDefault="003176A9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</w:t>
      </w:r>
      <w:r w:rsidRPr="00DA609D">
        <w:rPr>
          <w:rFonts w:ascii="Calibri" w:hAnsi="Calibri"/>
          <w:b/>
          <w:sz w:val="22"/>
          <w:szCs w:val="22"/>
          <w:lang w:val="en-GB"/>
        </w:rPr>
        <w:t xml:space="preserve">able </w:t>
      </w:r>
      <w:r>
        <w:rPr>
          <w:rFonts w:ascii="Calibri" w:hAnsi="Calibri"/>
          <w:b/>
          <w:sz w:val="22"/>
          <w:szCs w:val="22"/>
          <w:lang w:val="en-GB"/>
        </w:rPr>
        <w:t>e-</w:t>
      </w:r>
      <w:r w:rsidR="00F80011">
        <w:rPr>
          <w:rFonts w:ascii="Calibri" w:hAnsi="Calibri"/>
          <w:b/>
          <w:sz w:val="22"/>
          <w:szCs w:val="22"/>
          <w:lang w:val="en-GB"/>
        </w:rPr>
        <w:t>1</w:t>
      </w:r>
      <w:r w:rsidRPr="00DA609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Pr="00DE4A37">
        <w:rPr>
          <w:rFonts w:ascii="Calibri" w:hAnsi="Calibri"/>
          <w:sz w:val="22"/>
          <w:szCs w:val="22"/>
          <w:lang w:val="en-GB"/>
        </w:rPr>
        <w:t xml:space="preserve">Main characteristics of the cohort receiving </w:t>
      </w:r>
      <w:r>
        <w:rPr>
          <w:rFonts w:ascii="Calibri" w:hAnsi="Calibri"/>
          <w:sz w:val="22"/>
          <w:szCs w:val="22"/>
          <w:lang w:val="en-GB"/>
        </w:rPr>
        <w:t>a single cycle of R</w:t>
      </w:r>
      <w:r w:rsidRPr="00DE4A37">
        <w:rPr>
          <w:rFonts w:ascii="Calibri" w:hAnsi="Calibri"/>
          <w:sz w:val="22"/>
          <w:szCs w:val="22"/>
          <w:lang w:val="en-GB"/>
        </w:rPr>
        <w:t>ituximab</w:t>
      </w:r>
    </w:p>
    <w:tbl>
      <w:tblPr>
        <w:tblW w:w="92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73"/>
        <w:gridCol w:w="5533"/>
      </w:tblGrid>
      <w:tr w:rsidR="003176A9" w:rsidRPr="00914416" w14:paraId="5EFF0E66" w14:textId="77777777" w:rsidTr="00F11FA7">
        <w:trPr>
          <w:trHeight w:val="250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FFDBE16" w14:textId="77777777" w:rsidR="003176A9" w:rsidRPr="00914416" w:rsidRDefault="003176A9" w:rsidP="00F11FA7">
            <w:pPr>
              <w:spacing w:after="200" w:line="360" w:lineRule="auto"/>
              <w:contextualSpacing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b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4724647" w14:textId="77777777" w:rsidR="003176A9" w:rsidRPr="00914416" w:rsidRDefault="003176A9" w:rsidP="00F11FA7">
            <w:pPr>
              <w:spacing w:after="200" w:line="360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b/>
                <w:sz w:val="20"/>
                <w:szCs w:val="20"/>
                <w:lang w:val="en-US"/>
              </w:rPr>
              <w:t>N=20</w:t>
            </w:r>
          </w:p>
        </w:tc>
      </w:tr>
      <w:tr w:rsidR="003176A9" w:rsidRPr="00914416" w14:paraId="105C2DE4" w14:textId="77777777" w:rsidTr="00F11FA7">
        <w:trPr>
          <w:trHeight w:val="250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9D83B97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772F634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12 (60%) female / 8 (40%) male</w:t>
            </w:r>
          </w:p>
        </w:tc>
      </w:tr>
      <w:tr w:rsidR="003176A9" w:rsidRPr="00914416" w14:paraId="57601179" w14:textId="77777777" w:rsidTr="00F11FA7">
        <w:trPr>
          <w:trHeight w:val="74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B594730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B0CE197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17 (85%) Caucasians</w:t>
            </w:r>
          </w:p>
          <w:p w14:paraId="68373FEF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1 (5%) Asian</w:t>
            </w:r>
          </w:p>
          <w:p w14:paraId="2A9CAB30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2 (10%) Arabs</w:t>
            </w:r>
          </w:p>
        </w:tc>
      </w:tr>
      <w:tr w:rsidR="003176A9" w:rsidRPr="00914416" w14:paraId="14EED3E0" w14:textId="77777777" w:rsidTr="00F11FA7">
        <w:trPr>
          <w:trHeight w:val="250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B8B4246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Consanguinity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87A3FCF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1 (5%)</w:t>
            </w:r>
          </w:p>
        </w:tc>
      </w:tr>
      <w:tr w:rsidR="003176A9" w:rsidRPr="00914416" w14:paraId="3D9F660E" w14:textId="77777777" w:rsidTr="00F11FA7">
        <w:trPr>
          <w:trHeight w:val="250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942EC87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Family history of autoimmune diseases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778BAB5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5 (25%)</w:t>
            </w:r>
          </w:p>
        </w:tc>
      </w:tr>
      <w:tr w:rsidR="003176A9" w:rsidRPr="00914416" w14:paraId="182F1CB6" w14:textId="77777777" w:rsidTr="00F11FA7">
        <w:trPr>
          <w:trHeight w:val="99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71AF8AF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Underlying immune-mediated disorder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0C323FF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9 (45%) neuro-immunological diseases</w:t>
            </w:r>
            <w:r w:rsidRPr="00914416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1</w:t>
            </w:r>
          </w:p>
          <w:p w14:paraId="6948BFFB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1 (4.5%) dermatological diseases</w:t>
            </w:r>
            <w:r w:rsidRPr="00914416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6F9F1ED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8 (36.4%) nephrological diseases</w:t>
            </w:r>
            <w:r w:rsidRPr="00914416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3</w:t>
            </w:r>
          </w:p>
          <w:p w14:paraId="5DC2E098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2 (9.1%) rheumatic disease</w:t>
            </w:r>
            <w:r w:rsidRPr="00914416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3176A9" w:rsidRPr="00914416" w14:paraId="6757A41A" w14:textId="77777777" w:rsidTr="00F11FA7">
        <w:trPr>
          <w:trHeight w:val="49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26D1E66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Median age (years) at disease onset</w:t>
            </w:r>
          </w:p>
          <w:p w14:paraId="0F34164F" w14:textId="10C07AF9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gramStart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median</w:t>
            </w:r>
            <w:proofErr w:type="gramEnd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 / </w:t>
            </w:r>
            <w:r w:rsidR="00D03871">
              <w:rPr>
                <w:rFonts w:ascii="Calibri" w:hAnsi="Calibri"/>
                <w:sz w:val="20"/>
                <w:szCs w:val="20"/>
                <w:lang w:val="en-US"/>
              </w:rPr>
              <w:t>IQR</w:t>
            </w: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C4893B6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8.5 (3-13.75)</w:t>
            </w:r>
          </w:p>
        </w:tc>
      </w:tr>
      <w:tr w:rsidR="003176A9" w:rsidRPr="00914416" w14:paraId="199D5242" w14:textId="77777777" w:rsidTr="00F11FA7">
        <w:trPr>
          <w:trHeight w:val="49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83F645F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Median age (years) at first RTX infusion</w:t>
            </w:r>
          </w:p>
          <w:p w14:paraId="22FA4BB5" w14:textId="433A4EE4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gramStart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median</w:t>
            </w:r>
            <w:proofErr w:type="gramEnd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/ </w:t>
            </w:r>
            <w:r w:rsidR="00D03871">
              <w:rPr>
                <w:rFonts w:ascii="Calibri" w:hAnsi="Calibri"/>
                <w:sz w:val="20"/>
                <w:szCs w:val="20"/>
                <w:lang w:val="en-US"/>
              </w:rPr>
              <w:t>IQR</w:t>
            </w: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7372542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12.</w:t>
            </w:r>
            <w:r w:rsidR="00687951"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 (6.6-15.5)</w:t>
            </w:r>
          </w:p>
        </w:tc>
      </w:tr>
      <w:tr w:rsidR="003176A9" w:rsidRPr="00914416" w14:paraId="614B8BDC" w14:textId="77777777" w:rsidTr="00F11FA7">
        <w:trPr>
          <w:trHeight w:val="49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3697C6D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Median disease duration before</w:t>
            </w:r>
          </w:p>
          <w:p w14:paraId="40D74241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proofErr w:type="gramStart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first</w:t>
            </w:r>
            <w:proofErr w:type="gramEnd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 RTX  (years)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D159D98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1.9 (0.4-4.5)</w:t>
            </w:r>
          </w:p>
        </w:tc>
      </w:tr>
      <w:tr w:rsidR="003176A9" w:rsidRPr="00914416" w14:paraId="42B3243D" w14:textId="77777777" w:rsidTr="00F11FA7">
        <w:trPr>
          <w:trHeight w:val="49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2A41673E" w14:textId="77777777" w:rsidR="003176A9" w:rsidRPr="00914416" w:rsidRDefault="003176A9" w:rsidP="00F11FA7">
            <w:pPr>
              <w:spacing w:after="200"/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Number of patients with hypogammaglobulinemia (hypo IgG) prior to RTX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2A2273B7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1 (5%)</w:t>
            </w:r>
            <w:r w:rsidRPr="00914416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5</w:t>
            </w:r>
          </w:p>
          <w:p w14:paraId="06BE042F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(nephrotic syndrome)</w:t>
            </w:r>
          </w:p>
        </w:tc>
      </w:tr>
      <w:tr w:rsidR="003176A9" w:rsidRPr="00914416" w14:paraId="737289C6" w14:textId="77777777" w:rsidTr="00F11FA7">
        <w:trPr>
          <w:trHeight w:val="49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D821598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Number of patients with low % of B-lymphocytes prior to RTX</w:t>
            </w:r>
            <w:r w:rsidRPr="00914416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2835577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2 (10%)</w:t>
            </w:r>
          </w:p>
        </w:tc>
      </w:tr>
      <w:tr w:rsidR="003176A9" w:rsidRPr="00914416" w14:paraId="19C98AAA" w14:textId="77777777" w:rsidTr="00F11FA7">
        <w:trPr>
          <w:trHeight w:val="49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C1C5F14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Median follow-up after RTX treatment (months)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37783657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12.6 (10.2-24)</w:t>
            </w:r>
          </w:p>
        </w:tc>
      </w:tr>
      <w:tr w:rsidR="003176A9" w:rsidRPr="00914416" w14:paraId="6E96A909" w14:textId="77777777" w:rsidTr="00F11FA7">
        <w:trPr>
          <w:trHeight w:val="403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63D9542D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Immunosuppressive treatment before RTX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237F39EF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20 (100%):  </w:t>
            </w:r>
          </w:p>
          <w:p w14:paraId="62DE5BC4" w14:textId="2EF14FA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gramStart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steroids</w:t>
            </w:r>
            <w:proofErr w:type="gramEnd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 alone 9/20;</w:t>
            </w:r>
          </w:p>
          <w:p w14:paraId="07735529" w14:textId="7A8996CD" w:rsidR="003176A9" w:rsidRPr="00914416" w:rsidRDefault="003176A9" w:rsidP="004C26E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proofErr w:type="gramStart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steroids</w:t>
            </w:r>
            <w:proofErr w:type="gramEnd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 + second-line </w:t>
            </w:r>
            <w:proofErr w:type="spellStart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immunosuppressants</w:t>
            </w:r>
            <w:proofErr w:type="spellEnd"/>
            <w:r w:rsidR="004C26E7"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: 11/20  </w:t>
            </w:r>
          </w:p>
        </w:tc>
      </w:tr>
      <w:tr w:rsidR="003176A9" w:rsidRPr="0090068F" w14:paraId="65845C59" w14:textId="77777777" w:rsidTr="00F11FA7">
        <w:trPr>
          <w:trHeight w:val="49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4DF9F61" w14:textId="77777777" w:rsidR="003176A9" w:rsidRPr="00914416" w:rsidRDefault="003176A9" w:rsidP="00F11FA7">
            <w:pPr>
              <w:spacing w:after="200"/>
              <w:contextualSpacing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Immunosuppressive treatment during RTX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1F20F4D" w14:textId="77777777" w:rsidR="003176A9" w:rsidRPr="00914416" w:rsidRDefault="003176A9" w:rsidP="00F11FA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11 (55%):  </w:t>
            </w:r>
          </w:p>
          <w:p w14:paraId="2E41C641" w14:textId="0B6B2E36" w:rsidR="003176A9" w:rsidRPr="00914416" w:rsidRDefault="003176A9" w:rsidP="00B14BFE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gramStart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steroids</w:t>
            </w:r>
            <w:proofErr w:type="gramEnd"/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 xml:space="preserve"> alone 5/11;</w:t>
            </w:r>
          </w:p>
          <w:p w14:paraId="2C5F77D1" w14:textId="49AB748A" w:rsidR="003176A9" w:rsidRPr="009351B6" w:rsidRDefault="003176A9" w:rsidP="004C26E7">
            <w:pPr>
              <w:spacing w:after="200"/>
              <w:contextualSpacing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steroids + second-line immunosuppressants*</w:t>
            </w:r>
            <w:r w:rsidR="004C26E7"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914416">
              <w:rPr>
                <w:rFonts w:ascii="Calibri" w:hAnsi="Calibri"/>
                <w:sz w:val="20"/>
                <w:szCs w:val="20"/>
                <w:lang w:val="en-US"/>
              </w:rPr>
              <w:t>: 6/11</w:t>
            </w:r>
            <w:r w:rsidRPr="009351B6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E4C13C4" w14:textId="77777777" w:rsidR="00A259EE" w:rsidRDefault="00A259EE" w:rsidP="003176A9">
      <w:pPr>
        <w:spacing w:after="200" w:line="360" w:lineRule="auto"/>
        <w:contextualSpacing/>
        <w:jc w:val="both"/>
        <w:rPr>
          <w:rFonts w:ascii="Calibri" w:hAnsi="Calibri"/>
          <w:sz w:val="18"/>
          <w:szCs w:val="18"/>
          <w:lang w:val="en-US"/>
        </w:rPr>
      </w:pPr>
    </w:p>
    <w:p w14:paraId="6AA871F6" w14:textId="052052A3" w:rsidR="003176A9" w:rsidRDefault="003176A9" w:rsidP="003176A9">
      <w:pPr>
        <w:spacing w:after="200" w:line="360" w:lineRule="auto"/>
        <w:contextualSpacing/>
        <w:jc w:val="both"/>
        <w:rPr>
          <w:rFonts w:ascii="Calibri" w:hAnsi="Calibri"/>
          <w:sz w:val="18"/>
          <w:szCs w:val="18"/>
          <w:lang w:val="en-US"/>
        </w:rPr>
      </w:pPr>
      <w:r w:rsidRPr="00D01BE8">
        <w:rPr>
          <w:rFonts w:ascii="Calibri" w:hAnsi="Calibri"/>
          <w:sz w:val="18"/>
          <w:szCs w:val="18"/>
          <w:vertAlign w:val="superscript"/>
          <w:lang w:val="en-US"/>
        </w:rPr>
        <w:t>1</w:t>
      </w:r>
      <w:r w:rsidRPr="00411802">
        <w:rPr>
          <w:rFonts w:ascii="Calibri" w:hAnsi="Calibri"/>
          <w:sz w:val="18"/>
          <w:szCs w:val="18"/>
          <w:lang w:val="en-US"/>
        </w:rPr>
        <w:t>3</w:t>
      </w:r>
      <w:r w:rsidR="00A259EE">
        <w:rPr>
          <w:rFonts w:ascii="Calibri" w:hAnsi="Calibri"/>
          <w:sz w:val="18"/>
          <w:szCs w:val="18"/>
          <w:lang w:val="en-US"/>
        </w:rPr>
        <w:t xml:space="preserve"> </w:t>
      </w:r>
      <w:r w:rsidRPr="00411802">
        <w:rPr>
          <w:rFonts w:ascii="Calibri" w:hAnsi="Calibri"/>
          <w:sz w:val="18"/>
          <w:szCs w:val="18"/>
          <w:lang w:val="en-US"/>
        </w:rPr>
        <w:t xml:space="preserve">anti-NMDAR encephalitis, 6 </w:t>
      </w:r>
      <w:r w:rsidR="000C79BD">
        <w:rPr>
          <w:rFonts w:ascii="Calibri" w:hAnsi="Calibri"/>
          <w:sz w:val="18"/>
          <w:szCs w:val="18"/>
          <w:lang w:val="en-US"/>
        </w:rPr>
        <w:t xml:space="preserve">recurrent </w:t>
      </w:r>
      <w:r w:rsidRPr="00411802">
        <w:rPr>
          <w:rFonts w:ascii="Calibri" w:hAnsi="Calibri"/>
          <w:sz w:val="18"/>
          <w:szCs w:val="18"/>
          <w:lang w:val="en-US"/>
        </w:rPr>
        <w:t>anti-MOG</w:t>
      </w:r>
      <w:r w:rsidR="000C79BD">
        <w:rPr>
          <w:rFonts w:ascii="Calibri" w:hAnsi="Calibri"/>
          <w:sz w:val="18"/>
          <w:szCs w:val="18"/>
          <w:lang w:val="en-US"/>
        </w:rPr>
        <w:t>-</w:t>
      </w:r>
      <w:r w:rsidRPr="00411802">
        <w:rPr>
          <w:rFonts w:ascii="Calibri" w:hAnsi="Calibri"/>
          <w:sz w:val="18"/>
          <w:szCs w:val="18"/>
          <w:lang w:val="en-US"/>
        </w:rPr>
        <w:t xml:space="preserve">associated </w:t>
      </w:r>
      <w:r w:rsidR="00A259EE">
        <w:rPr>
          <w:rFonts w:ascii="Calibri" w:hAnsi="Calibri"/>
          <w:sz w:val="18"/>
          <w:szCs w:val="18"/>
          <w:lang w:val="en-US"/>
        </w:rPr>
        <w:t xml:space="preserve">inflammatory </w:t>
      </w:r>
      <w:r w:rsidRPr="00411802">
        <w:rPr>
          <w:rFonts w:ascii="Calibri" w:hAnsi="Calibri"/>
          <w:sz w:val="18"/>
          <w:szCs w:val="18"/>
          <w:lang w:val="en-US"/>
        </w:rPr>
        <w:t>central nervous system disease</w:t>
      </w:r>
      <w:r w:rsidR="0070255E">
        <w:rPr>
          <w:rFonts w:ascii="Calibri" w:hAnsi="Calibri"/>
          <w:sz w:val="18"/>
          <w:szCs w:val="18"/>
          <w:lang w:val="en-US"/>
        </w:rPr>
        <w:t>;</w:t>
      </w:r>
      <w:r w:rsidR="00A259EE">
        <w:rPr>
          <w:rFonts w:ascii="Calibri" w:hAnsi="Calibri"/>
          <w:sz w:val="18"/>
          <w:szCs w:val="18"/>
          <w:lang w:val="en-US"/>
        </w:rPr>
        <w:t xml:space="preserve"> </w:t>
      </w:r>
      <w:r w:rsidRPr="00D01BE8">
        <w:rPr>
          <w:rFonts w:ascii="Calibri" w:hAnsi="Calibri"/>
          <w:sz w:val="18"/>
          <w:szCs w:val="18"/>
          <w:vertAlign w:val="superscript"/>
          <w:lang w:val="en-US"/>
        </w:rPr>
        <w:t>2</w:t>
      </w:r>
      <w:r>
        <w:rPr>
          <w:rFonts w:ascii="Calibri" w:hAnsi="Calibri"/>
          <w:sz w:val="18"/>
          <w:szCs w:val="18"/>
          <w:lang w:val="en-US"/>
        </w:rPr>
        <w:t>P</w:t>
      </w:r>
      <w:r w:rsidRPr="00411802">
        <w:rPr>
          <w:rFonts w:ascii="Calibri" w:hAnsi="Calibri"/>
          <w:sz w:val="18"/>
          <w:szCs w:val="18"/>
          <w:lang w:val="en-US"/>
        </w:rPr>
        <w:t>araneoplastic pemphigus</w:t>
      </w:r>
      <w:r w:rsidR="0070255E">
        <w:rPr>
          <w:rFonts w:ascii="Calibri" w:hAnsi="Calibri"/>
          <w:sz w:val="18"/>
          <w:szCs w:val="18"/>
          <w:lang w:val="en-US"/>
        </w:rPr>
        <w:t>;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r w:rsidRPr="00D01BE8">
        <w:rPr>
          <w:rFonts w:ascii="Calibri" w:hAnsi="Calibri"/>
          <w:sz w:val="18"/>
          <w:szCs w:val="18"/>
          <w:vertAlign w:val="superscript"/>
          <w:lang w:val="en-US"/>
        </w:rPr>
        <w:t>3</w:t>
      </w:r>
      <w:r w:rsidR="0070255E">
        <w:rPr>
          <w:rFonts w:ascii="Calibri" w:hAnsi="Calibri"/>
          <w:sz w:val="18"/>
          <w:szCs w:val="18"/>
          <w:lang w:val="en-US"/>
        </w:rPr>
        <w:t>3</w:t>
      </w:r>
      <w:r w:rsidR="00B14BFE"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N</w:t>
      </w:r>
      <w:r w:rsidRPr="00411802">
        <w:rPr>
          <w:rFonts w:ascii="Calibri" w:hAnsi="Calibri"/>
          <w:sz w:val="18"/>
          <w:szCs w:val="18"/>
          <w:lang w:val="en-US"/>
        </w:rPr>
        <w:t>ephrotic syndrome with chronic renal failure, 2 ANCA glomerulonephritis and vasculitis</w:t>
      </w:r>
      <w:r>
        <w:rPr>
          <w:rFonts w:ascii="Calibri" w:hAnsi="Calibri"/>
          <w:sz w:val="18"/>
          <w:szCs w:val="18"/>
          <w:lang w:val="en-US"/>
        </w:rPr>
        <w:t>,</w:t>
      </w:r>
      <w:r w:rsidRPr="00411802">
        <w:rPr>
          <w:rFonts w:ascii="Calibri" w:hAnsi="Calibri"/>
          <w:sz w:val="18"/>
          <w:szCs w:val="18"/>
          <w:lang w:val="en-US"/>
        </w:rPr>
        <w:t xml:space="preserve"> and 3 acute antibody-mediated rejection of kidney transplant</w:t>
      </w:r>
      <w:r w:rsidR="00A259EE">
        <w:rPr>
          <w:rFonts w:ascii="Calibri" w:hAnsi="Calibri"/>
          <w:sz w:val="18"/>
          <w:szCs w:val="18"/>
          <w:lang w:val="en-US"/>
        </w:rPr>
        <w:t>;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r w:rsidRPr="00D01BE8">
        <w:rPr>
          <w:rFonts w:ascii="Calibri" w:hAnsi="Calibri"/>
          <w:sz w:val="18"/>
          <w:szCs w:val="18"/>
          <w:vertAlign w:val="superscript"/>
          <w:lang w:val="en-US"/>
        </w:rPr>
        <w:t>4</w:t>
      </w:r>
      <w:r w:rsidR="00B14BFE">
        <w:rPr>
          <w:rFonts w:ascii="Calibri" w:hAnsi="Calibri"/>
          <w:sz w:val="18"/>
          <w:szCs w:val="18"/>
          <w:lang w:val="en-US"/>
        </w:rPr>
        <w:t>Both j</w:t>
      </w:r>
      <w:r w:rsidRPr="00411802">
        <w:rPr>
          <w:rFonts w:ascii="Calibri" w:hAnsi="Calibri"/>
          <w:sz w:val="18"/>
          <w:szCs w:val="18"/>
          <w:lang w:val="en-US"/>
        </w:rPr>
        <w:t>uvenile idiopathic arthritis</w:t>
      </w:r>
      <w:r w:rsidR="00A259EE">
        <w:rPr>
          <w:rFonts w:ascii="Calibri" w:hAnsi="Calibri"/>
          <w:sz w:val="18"/>
          <w:szCs w:val="18"/>
          <w:lang w:val="en-US"/>
        </w:rPr>
        <w:t>;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r w:rsidRPr="00D01BE8">
        <w:rPr>
          <w:rFonts w:ascii="Calibri" w:hAnsi="Calibri"/>
          <w:sz w:val="18"/>
          <w:szCs w:val="18"/>
          <w:vertAlign w:val="superscript"/>
          <w:lang w:val="en-US"/>
        </w:rPr>
        <w:t>5</w:t>
      </w:r>
      <w:r>
        <w:rPr>
          <w:rFonts w:ascii="Calibri" w:hAnsi="Calibri"/>
          <w:sz w:val="18"/>
          <w:szCs w:val="18"/>
          <w:lang w:val="en-US"/>
        </w:rPr>
        <w:t xml:space="preserve">One </w:t>
      </w:r>
      <w:r w:rsidRPr="00DE4A37">
        <w:rPr>
          <w:rFonts w:ascii="Calibri" w:hAnsi="Calibri"/>
          <w:sz w:val="18"/>
          <w:szCs w:val="18"/>
          <w:lang w:val="en-US"/>
        </w:rPr>
        <w:t xml:space="preserve">patient with nephrotic syndrome </w:t>
      </w:r>
      <w:r w:rsidR="00A259EE">
        <w:rPr>
          <w:rFonts w:ascii="Calibri" w:hAnsi="Calibri"/>
          <w:sz w:val="18"/>
          <w:szCs w:val="18"/>
          <w:lang w:val="en-US"/>
        </w:rPr>
        <w:t>had</w:t>
      </w:r>
      <w:r w:rsidR="00A259EE" w:rsidRPr="00DE4A37">
        <w:rPr>
          <w:rFonts w:ascii="Calibri" w:hAnsi="Calibri"/>
          <w:sz w:val="18"/>
          <w:szCs w:val="18"/>
          <w:lang w:val="en-US"/>
        </w:rPr>
        <w:t xml:space="preserve"> </w:t>
      </w:r>
      <w:r w:rsidRPr="00DE4A37">
        <w:rPr>
          <w:rFonts w:ascii="Calibri" w:hAnsi="Calibri"/>
          <w:sz w:val="18"/>
          <w:szCs w:val="18"/>
          <w:lang w:val="en-US"/>
        </w:rPr>
        <w:t xml:space="preserve">hypo IgG due to </w:t>
      </w:r>
      <w:r>
        <w:rPr>
          <w:rFonts w:ascii="Calibri" w:hAnsi="Calibri"/>
          <w:sz w:val="18"/>
          <w:szCs w:val="18"/>
          <w:lang w:val="en-US"/>
        </w:rPr>
        <w:t xml:space="preserve">severe </w:t>
      </w:r>
      <w:r w:rsidRPr="00DE4A37">
        <w:rPr>
          <w:rFonts w:ascii="Calibri" w:hAnsi="Calibri"/>
          <w:sz w:val="18"/>
          <w:szCs w:val="18"/>
          <w:lang w:val="en-US"/>
        </w:rPr>
        <w:t xml:space="preserve">proteinuria </w:t>
      </w:r>
      <w:r w:rsidR="00A259EE">
        <w:rPr>
          <w:rFonts w:ascii="Calibri" w:hAnsi="Calibri"/>
          <w:sz w:val="18"/>
          <w:szCs w:val="18"/>
          <w:lang w:val="en-US"/>
        </w:rPr>
        <w:t xml:space="preserve">but as </w:t>
      </w:r>
      <w:r w:rsidRPr="00DE4A37">
        <w:rPr>
          <w:rFonts w:ascii="Calibri" w:hAnsi="Calibri"/>
          <w:sz w:val="18"/>
          <w:szCs w:val="18"/>
          <w:lang w:val="en-US"/>
        </w:rPr>
        <w:t>hypo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r w:rsidRPr="00DE4A37">
        <w:rPr>
          <w:rFonts w:ascii="Calibri" w:hAnsi="Calibri"/>
          <w:sz w:val="18"/>
          <w:szCs w:val="18"/>
          <w:lang w:val="en-US"/>
        </w:rPr>
        <w:t>IgG correlated with hypoalbuminemia</w:t>
      </w:r>
      <w:r>
        <w:rPr>
          <w:rFonts w:ascii="Calibri" w:hAnsi="Calibri"/>
          <w:sz w:val="18"/>
          <w:szCs w:val="18"/>
          <w:lang w:val="en-US"/>
        </w:rPr>
        <w:t xml:space="preserve"> and disease activity</w:t>
      </w:r>
      <w:r w:rsidR="00A259EE">
        <w:rPr>
          <w:rFonts w:ascii="Calibri" w:hAnsi="Calibri"/>
          <w:sz w:val="18"/>
          <w:szCs w:val="18"/>
          <w:lang w:val="en-US"/>
        </w:rPr>
        <w:t xml:space="preserve"> this was not considered pathological or related to RTX – effect. </w:t>
      </w:r>
    </w:p>
    <w:p w14:paraId="5B28D13E" w14:textId="440EDE1A" w:rsidR="003176A9" w:rsidRPr="00FB6853" w:rsidRDefault="003176A9" w:rsidP="003176A9">
      <w:pPr>
        <w:spacing w:after="200" w:line="360" w:lineRule="auto"/>
        <w:contextualSpacing/>
        <w:jc w:val="both"/>
        <w:rPr>
          <w:rFonts w:ascii="Calibri" w:hAnsi="Calibri"/>
          <w:sz w:val="18"/>
          <w:szCs w:val="18"/>
          <w:lang w:val="en-US"/>
        </w:rPr>
      </w:pPr>
      <w:r w:rsidRPr="00FB6853">
        <w:rPr>
          <w:rFonts w:ascii="Calibri" w:hAnsi="Calibri"/>
          <w:sz w:val="18"/>
          <w:szCs w:val="18"/>
          <w:lang w:val="en-US"/>
        </w:rPr>
        <w:t>*</w:t>
      </w:r>
      <w:proofErr w:type="gramStart"/>
      <w:r w:rsidRPr="00FB6853">
        <w:rPr>
          <w:rFonts w:ascii="Calibri" w:hAnsi="Calibri"/>
          <w:sz w:val="18"/>
          <w:szCs w:val="18"/>
          <w:lang w:val="en-US"/>
        </w:rPr>
        <w:t>second</w:t>
      </w:r>
      <w:proofErr w:type="gramEnd"/>
      <w:r w:rsidRPr="00FB6853">
        <w:rPr>
          <w:rFonts w:ascii="Calibri" w:hAnsi="Calibri"/>
          <w:sz w:val="18"/>
          <w:szCs w:val="18"/>
          <w:lang w:val="en-US"/>
        </w:rPr>
        <w:t>-line immunosuppressants</w:t>
      </w:r>
      <w:r w:rsidR="00C34367" w:rsidRPr="00FB6853">
        <w:rPr>
          <w:rFonts w:ascii="Calibri" w:hAnsi="Calibri"/>
          <w:sz w:val="18"/>
          <w:szCs w:val="18"/>
          <w:lang w:val="en-US"/>
        </w:rPr>
        <w:t xml:space="preserve"> included</w:t>
      </w:r>
      <w:r w:rsidRPr="00FB6853">
        <w:rPr>
          <w:rFonts w:ascii="Calibri" w:hAnsi="Calibri"/>
          <w:sz w:val="18"/>
          <w:szCs w:val="18"/>
          <w:lang w:val="en-US"/>
        </w:rPr>
        <w:t>: mycophenolate, azathioprine,</w:t>
      </w:r>
      <w:r w:rsidR="00FB6853">
        <w:rPr>
          <w:rFonts w:ascii="Calibri" w:hAnsi="Calibri"/>
          <w:sz w:val="18"/>
          <w:szCs w:val="18"/>
          <w:lang w:val="en-US"/>
        </w:rPr>
        <w:t xml:space="preserve"> methotrexate, cyclosporine A,</w:t>
      </w:r>
      <w:r w:rsidRPr="00FB6853">
        <w:rPr>
          <w:rFonts w:ascii="Calibri" w:hAnsi="Calibri"/>
          <w:sz w:val="18"/>
          <w:szCs w:val="18"/>
          <w:lang w:val="en-US"/>
        </w:rPr>
        <w:t xml:space="preserve"> cyclophosphamide , </w:t>
      </w:r>
      <w:proofErr w:type="spellStart"/>
      <w:r w:rsidRPr="00FB6853">
        <w:rPr>
          <w:rFonts w:ascii="Calibri" w:hAnsi="Calibri"/>
          <w:sz w:val="18"/>
          <w:szCs w:val="18"/>
          <w:lang w:val="en-US"/>
        </w:rPr>
        <w:t>tacrolimus</w:t>
      </w:r>
      <w:proofErr w:type="spellEnd"/>
      <w:r w:rsidRPr="00FB6853">
        <w:rPr>
          <w:rFonts w:ascii="Calibri" w:hAnsi="Calibri"/>
          <w:sz w:val="18"/>
          <w:szCs w:val="18"/>
          <w:lang w:val="en-US"/>
        </w:rPr>
        <w:t>.</w:t>
      </w:r>
    </w:p>
    <w:p w14:paraId="051C9870" w14:textId="6F431E55" w:rsidR="002228F9" w:rsidRDefault="00C34367" w:rsidP="002228F9">
      <w:pPr>
        <w:spacing w:after="200" w:line="360" w:lineRule="auto"/>
        <w:contextualSpacing/>
        <w:jc w:val="both"/>
        <w:rPr>
          <w:rFonts w:ascii="Calibri" w:hAnsi="Calibri"/>
          <w:sz w:val="18"/>
          <w:szCs w:val="18"/>
          <w:lang w:val="en-US"/>
        </w:rPr>
      </w:pPr>
      <w:r w:rsidRPr="00FB6853">
        <w:rPr>
          <w:rFonts w:ascii="Calibri" w:hAnsi="Calibri"/>
          <w:sz w:val="18"/>
          <w:szCs w:val="18"/>
          <w:lang w:val="en-US"/>
        </w:rPr>
        <w:t>**</w:t>
      </w:r>
      <w:proofErr w:type="gramStart"/>
      <w:r w:rsidRPr="00FB6853">
        <w:rPr>
          <w:rFonts w:ascii="Calibri" w:hAnsi="Calibri"/>
          <w:sz w:val="18"/>
          <w:szCs w:val="18"/>
          <w:lang w:val="en-US"/>
        </w:rPr>
        <w:t>second</w:t>
      </w:r>
      <w:proofErr w:type="gramEnd"/>
      <w:r w:rsidRPr="00FB6853">
        <w:rPr>
          <w:rFonts w:ascii="Calibri" w:hAnsi="Calibri"/>
          <w:sz w:val="18"/>
          <w:szCs w:val="18"/>
          <w:lang w:val="en-US"/>
        </w:rPr>
        <w:t xml:space="preserve">-line </w:t>
      </w:r>
      <w:proofErr w:type="spellStart"/>
      <w:r w:rsidRPr="00FB6853">
        <w:rPr>
          <w:rFonts w:ascii="Calibri" w:hAnsi="Calibri"/>
          <w:sz w:val="18"/>
          <w:szCs w:val="18"/>
          <w:lang w:val="en-US"/>
        </w:rPr>
        <w:t>immunosupressants</w:t>
      </w:r>
      <w:proofErr w:type="spellEnd"/>
      <w:r w:rsidRPr="00FB6853">
        <w:rPr>
          <w:rFonts w:ascii="Calibri" w:hAnsi="Calibri"/>
          <w:sz w:val="18"/>
          <w:szCs w:val="18"/>
          <w:lang w:val="en-US"/>
        </w:rPr>
        <w:t xml:space="preserve"> included:</w:t>
      </w:r>
      <w:r w:rsidR="002228F9" w:rsidRPr="00FB6853">
        <w:rPr>
          <w:rFonts w:ascii="Calibri" w:hAnsi="Calibri"/>
          <w:sz w:val="18"/>
          <w:szCs w:val="18"/>
          <w:lang w:val="en-US"/>
        </w:rPr>
        <w:t xml:space="preserve"> mycophenolate, azathioprine, methotrexate, cyclosporine A, </w:t>
      </w:r>
      <w:proofErr w:type="spellStart"/>
      <w:r w:rsidR="002228F9" w:rsidRPr="00FB6853">
        <w:rPr>
          <w:rFonts w:ascii="Calibri" w:hAnsi="Calibri"/>
          <w:sz w:val="18"/>
          <w:szCs w:val="18"/>
          <w:lang w:val="en-US"/>
        </w:rPr>
        <w:t>tacrolimus</w:t>
      </w:r>
      <w:proofErr w:type="spellEnd"/>
      <w:r w:rsidR="002228F9" w:rsidRPr="00FB6853">
        <w:rPr>
          <w:rFonts w:ascii="Calibri" w:hAnsi="Calibri"/>
          <w:sz w:val="18"/>
          <w:szCs w:val="18"/>
          <w:lang w:val="en-US"/>
        </w:rPr>
        <w:t>.</w:t>
      </w:r>
    </w:p>
    <w:p w14:paraId="3F39EA19" w14:textId="7CEFA63A" w:rsidR="00C34367" w:rsidRPr="001B7BA8" w:rsidRDefault="00C34367" w:rsidP="003176A9">
      <w:pPr>
        <w:spacing w:after="200" w:line="360" w:lineRule="auto"/>
        <w:contextualSpacing/>
        <w:jc w:val="both"/>
        <w:rPr>
          <w:rFonts w:ascii="Calibri" w:hAnsi="Calibri"/>
          <w:sz w:val="18"/>
          <w:szCs w:val="18"/>
          <w:lang w:val="en-US"/>
        </w:rPr>
      </w:pPr>
    </w:p>
    <w:p w14:paraId="193C987B" w14:textId="2BDD054F" w:rsidR="0070255E" w:rsidRPr="001B7BA8" w:rsidRDefault="0070255E" w:rsidP="0070255E">
      <w:pPr>
        <w:spacing w:after="200" w:line="360" w:lineRule="auto"/>
        <w:contextualSpacing/>
        <w:jc w:val="both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Abbreviations: Ig: immunoglobulins; NMDAR: N-methyl-D-</w:t>
      </w:r>
      <w:proofErr w:type="spellStart"/>
      <w:r>
        <w:rPr>
          <w:rFonts w:ascii="Calibri" w:hAnsi="Calibri"/>
          <w:sz w:val="18"/>
          <w:szCs w:val="18"/>
          <w:lang w:val="en-US"/>
        </w:rPr>
        <w:t>asparatate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 receptor; MOG: myelin-oligodendrocyte glycoprotein; </w:t>
      </w:r>
      <w:r w:rsidRPr="001B7BA8">
        <w:rPr>
          <w:rFonts w:ascii="Calibri" w:hAnsi="Calibri"/>
          <w:sz w:val="18"/>
          <w:szCs w:val="18"/>
          <w:lang w:val="en-US"/>
        </w:rPr>
        <w:t>RTX: rituximab.</w:t>
      </w:r>
    </w:p>
    <w:p w14:paraId="47F0206C" w14:textId="77777777" w:rsidR="003176A9" w:rsidRDefault="003176A9">
      <w:bookmarkStart w:id="0" w:name="_GoBack"/>
      <w:bookmarkEnd w:id="0"/>
    </w:p>
    <w:sectPr w:rsidR="003176A9" w:rsidSect="00FB6853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C8474C" w15:done="0"/>
  <w15:commentEx w15:paraId="6F2151B7" w15:done="0"/>
  <w15:commentEx w15:paraId="5A783C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8474C" w16cid:durableId="224AB426"/>
  <w16cid:commentId w16cid:paraId="6F2151B7" w16cid:durableId="224AB4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A9"/>
    <w:rsid w:val="000C45CE"/>
    <w:rsid w:val="000C79BD"/>
    <w:rsid w:val="000E2869"/>
    <w:rsid w:val="0021504B"/>
    <w:rsid w:val="002228F9"/>
    <w:rsid w:val="003176A9"/>
    <w:rsid w:val="003A3CBE"/>
    <w:rsid w:val="003A3CF0"/>
    <w:rsid w:val="004C26E7"/>
    <w:rsid w:val="00687951"/>
    <w:rsid w:val="0070255E"/>
    <w:rsid w:val="0075483D"/>
    <w:rsid w:val="00775DBD"/>
    <w:rsid w:val="008162F4"/>
    <w:rsid w:val="008E2884"/>
    <w:rsid w:val="008E4FCF"/>
    <w:rsid w:val="0091594D"/>
    <w:rsid w:val="009635DE"/>
    <w:rsid w:val="00A259EE"/>
    <w:rsid w:val="00B14BFE"/>
    <w:rsid w:val="00C34367"/>
    <w:rsid w:val="00CD23B5"/>
    <w:rsid w:val="00D03871"/>
    <w:rsid w:val="00D84D47"/>
    <w:rsid w:val="00E110CA"/>
    <w:rsid w:val="00ED2DB2"/>
    <w:rsid w:val="00F80011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E9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14BF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4BF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4BFE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4BF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4BFE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14BF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BF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BFE"/>
    <w:rPr>
      <w:rFonts w:ascii="Lucida Grande" w:hAnsi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14BF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4BF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4BFE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4BF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4BFE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14BF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BF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BFE"/>
    <w:rPr>
      <w:rFonts w:ascii="Lucida Grande" w:hAnsi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LAIA ALSINA</cp:lastModifiedBy>
  <cp:revision>3</cp:revision>
  <dcterms:created xsi:type="dcterms:W3CDTF">2020-04-22T15:43:00Z</dcterms:created>
  <dcterms:modified xsi:type="dcterms:W3CDTF">2020-04-22T15:43:00Z</dcterms:modified>
</cp:coreProperties>
</file>