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B4" w:rsidRPr="00122B43" w:rsidRDefault="00122B43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122B43">
        <w:rPr>
          <w:rFonts w:ascii="Arial" w:hAnsi="Arial" w:cs="Arial"/>
          <w:b/>
          <w:sz w:val="24"/>
          <w:szCs w:val="24"/>
          <w:lang w:val="en-US"/>
        </w:rPr>
        <w:t>eTable</w:t>
      </w:r>
      <w:proofErr w:type="spellEnd"/>
      <w:proofErr w:type="gramEnd"/>
      <w:r w:rsidRPr="00122B43">
        <w:rPr>
          <w:rFonts w:ascii="Arial" w:hAnsi="Arial" w:cs="Arial"/>
          <w:b/>
          <w:sz w:val="24"/>
          <w:szCs w:val="24"/>
          <w:lang w:val="en-US"/>
        </w:rPr>
        <w:t xml:space="preserve"> 1. Diagnoses of the Control Cohort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623"/>
        <w:gridCol w:w="1819"/>
        <w:gridCol w:w="1635"/>
      </w:tblGrid>
      <w:tr w:rsidR="0029329C" w:rsidRPr="000221B4" w:rsidTr="000221B4">
        <w:trPr>
          <w:trHeight w:val="375"/>
        </w:trPr>
        <w:tc>
          <w:tcPr>
            <w:tcW w:w="5211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Disease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years</w:t>
            </w:r>
            <w:proofErr w:type="spellEnd"/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sNfL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pg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mL</w:t>
            </w:r>
            <w:proofErr w:type="spellEnd"/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221B4" w:rsidRPr="000221B4" w:rsidTr="000221B4">
        <w:trPr>
          <w:trHeight w:val="315"/>
        </w:trPr>
        <w:tc>
          <w:tcPr>
            <w:tcW w:w="5211" w:type="dxa"/>
            <w:tcBorders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Endocrinological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AF5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12.2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7.5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14.5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4.7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3.6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2932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Autoimmunological diseases of the thyroid gland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AF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10.5 [8.0, </w:t>
            </w:r>
            <w:r w:rsidR="0029329C" w:rsidRPr="000221B4">
              <w:rPr>
                <w:rFonts w:ascii="Arial" w:hAnsi="Arial" w:cs="Arial"/>
                <w:sz w:val="20"/>
                <w:szCs w:val="20"/>
              </w:rPr>
              <w:t>15.0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5.2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4.0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5.8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122B43" w:rsidP="002932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="0029329C" w:rsidRPr="000221B4">
              <w:rPr>
                <w:rFonts w:ascii="Arial" w:hAnsi="Arial" w:cs="Arial"/>
                <w:sz w:val="20"/>
                <w:szCs w:val="20"/>
                <w:lang w:val="en-US"/>
              </w:rPr>
              <w:t xml:space="preserve"> diseases of the thyroid gland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AF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12.8 [11.5, </w:t>
            </w:r>
            <w:r w:rsidR="0029329C" w:rsidRPr="000221B4">
              <w:rPr>
                <w:rFonts w:ascii="Arial" w:hAnsi="Arial" w:cs="Arial"/>
                <w:sz w:val="20"/>
                <w:szCs w:val="20"/>
              </w:rPr>
              <w:t>14.5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4.7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4.3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5.1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2932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Stunted growth and high growth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AF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9.5 [6.1, </w:t>
            </w:r>
            <w:r w:rsidR="0029329C" w:rsidRPr="000221B4">
              <w:rPr>
                <w:rFonts w:ascii="Arial" w:hAnsi="Arial" w:cs="Arial"/>
                <w:sz w:val="20"/>
                <w:szCs w:val="20"/>
              </w:rPr>
              <w:t>13.9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5.4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3.9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7.4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2932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Diabetes mellitus type 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AF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14.3 [11.4, </w:t>
            </w:r>
            <w:r w:rsidR="0029329C" w:rsidRPr="000221B4">
              <w:rPr>
                <w:rFonts w:ascii="Arial" w:hAnsi="Arial" w:cs="Arial"/>
                <w:sz w:val="20"/>
                <w:szCs w:val="20"/>
              </w:rPr>
              <w:t>15.3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5.5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3.4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6.8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2932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Obesity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AF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12.9 [9.5, </w:t>
            </w:r>
            <w:r w:rsidR="0029329C" w:rsidRPr="000221B4">
              <w:rPr>
                <w:rFonts w:ascii="Arial" w:hAnsi="Arial" w:cs="Arial"/>
                <w:sz w:val="20"/>
                <w:szCs w:val="20"/>
              </w:rPr>
              <w:t>15.6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2.7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4.1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2932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Puberty</w:t>
            </w:r>
            <w:proofErr w:type="spellEnd"/>
            <w:r w:rsidRPr="000221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Pr="000221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0221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sex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AF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12.4 [7.5, </w:t>
            </w:r>
            <w:r w:rsidR="0029329C" w:rsidRPr="000221B4">
              <w:rPr>
                <w:rFonts w:ascii="Arial" w:hAnsi="Arial" w:cs="Arial"/>
                <w:sz w:val="20"/>
                <w:szCs w:val="20"/>
              </w:rPr>
              <w:t>13.9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3.7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5.4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2932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AF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9.9 [8.9, </w:t>
            </w:r>
            <w:r w:rsidR="0029329C" w:rsidRPr="000221B4">
              <w:rPr>
                <w:rFonts w:ascii="Arial" w:hAnsi="Arial" w:cs="Arial"/>
                <w:sz w:val="20"/>
                <w:szCs w:val="20"/>
              </w:rPr>
              <w:t>10.5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3.7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5.7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221B4" w:rsidRPr="000221B4" w:rsidTr="000221B4">
        <w:trPr>
          <w:trHeight w:val="315"/>
        </w:trPr>
        <w:tc>
          <w:tcPr>
            <w:tcW w:w="5211" w:type="dxa"/>
            <w:tcBorders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Gastroenterology</w:t>
            </w:r>
            <w:proofErr w:type="spellEnd"/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AF5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11.6 [8.8, </w:t>
            </w:r>
            <w:r w:rsidR="0029329C"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14.9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4.2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3.6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5.5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122B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 xml:space="preserve">Chronic inflammatory bowel </w:t>
            </w:r>
            <w:r w:rsidR="00122B43">
              <w:rPr>
                <w:rFonts w:ascii="Arial" w:hAnsi="Arial" w:cs="Arial"/>
                <w:sz w:val="20"/>
                <w:szCs w:val="20"/>
                <w:lang w:val="en-US"/>
              </w:rPr>
              <w:t>and celiac disease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AF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12.5 [10.0, </w:t>
            </w:r>
            <w:r w:rsidR="0029329C" w:rsidRPr="000221B4">
              <w:rPr>
                <w:rFonts w:ascii="Arial" w:hAnsi="Arial" w:cs="Arial"/>
                <w:sz w:val="20"/>
                <w:szCs w:val="20"/>
              </w:rPr>
              <w:t>17.0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4.5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3.9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5.5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122B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Liver</w:t>
            </w:r>
            <w:proofErr w:type="spellEnd"/>
            <w:r w:rsidRPr="000221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AF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13.5 [8.9, </w:t>
            </w:r>
            <w:r w:rsidR="0029329C" w:rsidRPr="000221B4">
              <w:rPr>
                <w:rFonts w:ascii="Arial" w:hAnsi="Arial" w:cs="Arial"/>
                <w:sz w:val="20"/>
                <w:szCs w:val="20"/>
              </w:rPr>
              <w:t>15.8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4.0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3.3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4.2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122B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Abdominal </w:t>
            </w:r>
            <w:proofErr w:type="spellStart"/>
            <w:r w:rsidR="00122B43">
              <w:rPr>
                <w:rFonts w:ascii="Arial" w:hAnsi="Arial" w:cs="Arial"/>
                <w:sz w:val="20"/>
                <w:szCs w:val="20"/>
              </w:rPr>
              <w:t>p</w:t>
            </w:r>
            <w:r w:rsidRPr="000221B4">
              <w:rPr>
                <w:rFonts w:ascii="Arial" w:hAnsi="Arial" w:cs="Arial"/>
                <w:sz w:val="20"/>
                <w:szCs w:val="20"/>
              </w:rPr>
              <w:t>ain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AF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11.5 [9.3, </w:t>
            </w:r>
            <w:r w:rsidR="0029329C" w:rsidRPr="000221B4">
              <w:rPr>
                <w:rFonts w:ascii="Arial" w:hAnsi="Arial" w:cs="Arial"/>
                <w:sz w:val="20"/>
                <w:szCs w:val="20"/>
              </w:rPr>
              <w:t>12.0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3.5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5.9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122B4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9.3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3.2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11.1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4.4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3.0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5.8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221B4" w:rsidRPr="000221B4" w:rsidTr="000221B4">
        <w:trPr>
          <w:trHeight w:val="315"/>
        </w:trPr>
        <w:tc>
          <w:tcPr>
            <w:tcW w:w="5211" w:type="dxa"/>
            <w:tcBorders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Infektiology</w:t>
            </w:r>
            <w:proofErr w:type="spellEnd"/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4.4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2.9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8.7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6.2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4.7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7.9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2932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Lymphadenopathy</w:t>
            </w:r>
            <w:proofErr w:type="spellEnd"/>
            <w:r w:rsidRPr="000221B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lymphadenitis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3.7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3.3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4.3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6.4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5.8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7.2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2932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Airway</w:t>
            </w:r>
            <w:proofErr w:type="spellEnd"/>
            <w:r w:rsidRPr="000221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4.4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2.6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6.9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6.3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3.6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7.8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2932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Gastroenetritis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1.4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4.5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5.9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5.3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6.8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2932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Other localized infection/inflammatory processes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7.3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4.9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10.1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5.7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3.4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7.9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29329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generalized</w:t>
            </w:r>
            <w:proofErr w:type="spellEnd"/>
            <w:r w:rsidRPr="000221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11.7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5.2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16.7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7.4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5.8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8.8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221B4" w:rsidRPr="000221B4" w:rsidTr="000221B4">
        <w:trPr>
          <w:trHeight w:val="315"/>
        </w:trPr>
        <w:tc>
          <w:tcPr>
            <w:tcW w:w="5211" w:type="dxa"/>
            <w:tcBorders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Nephrological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7.1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3.6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10.2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5.3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3.7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61744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Malformations of the kidneys or urinary tract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7.3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5.1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8.7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5.6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3.8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7.1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61744C" w:rsidP="0061744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H</w:t>
            </w:r>
            <w:r w:rsidR="0029329C" w:rsidRPr="000221B4">
              <w:rPr>
                <w:rFonts w:ascii="Arial" w:hAnsi="Arial" w:cs="Arial"/>
                <w:sz w:val="20"/>
                <w:szCs w:val="20"/>
              </w:rPr>
              <w:t>aematuria</w:t>
            </w:r>
            <w:proofErr w:type="spellEnd"/>
            <w:r w:rsidR="0029329C" w:rsidRPr="000221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329C" w:rsidRPr="000221B4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29329C" w:rsidRPr="000221B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29329C" w:rsidRPr="000221B4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="0029329C" w:rsidRPr="000221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329C" w:rsidRPr="000221B4">
              <w:rPr>
                <w:rFonts w:ascii="Arial" w:hAnsi="Arial" w:cs="Arial"/>
                <w:sz w:val="20"/>
                <w:szCs w:val="20"/>
              </w:rPr>
              <w:t>proteinuria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4.0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10.7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4.6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3.3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6.7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61744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4.9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3.6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6.8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</w:rPr>
            </w:pPr>
            <w:r w:rsidRPr="000221B4">
              <w:rPr>
                <w:rFonts w:ascii="Arial" w:hAnsi="Arial" w:cs="Arial"/>
                <w:sz w:val="20"/>
                <w:szCs w:val="20"/>
              </w:rPr>
              <w:t xml:space="preserve">12.4 </w:t>
            </w:r>
            <w:r w:rsidR="00AF5999">
              <w:rPr>
                <w:rFonts w:ascii="Arial" w:hAnsi="Arial" w:cs="Arial"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</w:rPr>
              <w:t>4.1</w:t>
            </w:r>
            <w:r w:rsidR="00AF59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</w:rPr>
              <w:t>14.9</w:t>
            </w:r>
            <w:r w:rsidR="00AF599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Psychosomatic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psychiatric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16.1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14.0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17.3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5.0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4.1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6.5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Rheumatic diseases and musculoskeletal system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10.1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5.6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12.3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4.9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3.8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6.3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nil"/>
              <w:right w:val="nil"/>
            </w:tcBorders>
            <w:noWrap/>
            <w:hideMark/>
          </w:tcPr>
          <w:p w:rsidR="0029329C" w:rsidRPr="000221B4" w:rsidRDefault="0029329C" w:rsidP="0061744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Confirmed diagnosis of rheumatic diseases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 xml:space="preserve">5.5 </w:t>
            </w:r>
            <w:r w:rsidR="00AF5999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3.8</w:t>
            </w:r>
            <w:r w:rsidR="00AF599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5.7</w:t>
            </w:r>
            <w:r w:rsidR="00AF5999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 xml:space="preserve">5.2 </w:t>
            </w:r>
            <w:r w:rsidR="00AF5999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4.9</w:t>
            </w:r>
            <w:r w:rsidR="00AF599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7.4</w:t>
            </w:r>
            <w:r w:rsidR="00AF5999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61744C" w:rsidP="0061744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29329C" w:rsidRPr="000221B4">
              <w:rPr>
                <w:rFonts w:ascii="Arial" w:hAnsi="Arial" w:cs="Arial"/>
                <w:sz w:val="20"/>
                <w:szCs w:val="20"/>
                <w:lang w:val="en-US"/>
              </w:rPr>
              <w:t>ain of musculoskeletal system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 xml:space="preserve">12.3 </w:t>
            </w:r>
            <w:r w:rsidR="00AF5999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10.6</w:t>
            </w:r>
            <w:r w:rsidR="00AF599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13.3</w:t>
            </w:r>
            <w:r w:rsidR="00AF5999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 xml:space="preserve">3.9 </w:t>
            </w:r>
            <w:r w:rsidR="00AF5999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3.1</w:t>
            </w:r>
            <w:r w:rsidR="00AF599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221B4">
              <w:rPr>
                <w:rFonts w:ascii="Arial" w:hAnsi="Arial" w:cs="Arial"/>
                <w:sz w:val="20"/>
                <w:szCs w:val="20"/>
                <w:lang w:val="en-US"/>
              </w:rPr>
              <w:t>4.8</w:t>
            </w:r>
            <w:r w:rsidR="00AF5999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</w:tr>
      <w:tr w:rsidR="000221B4" w:rsidRPr="000221B4" w:rsidTr="000221B4">
        <w:trPr>
          <w:trHeight w:val="315"/>
        </w:trPr>
        <w:tc>
          <w:tcPr>
            <w:tcW w:w="5211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Hemato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-Oncology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11.1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8.6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5.5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Dystrophies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feeding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1.9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1.5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9.1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6.3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11.1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0221B4" w:rsidRPr="000221B4" w:rsidTr="000221B4">
        <w:trPr>
          <w:trHeight w:val="315"/>
        </w:trPr>
        <w:tc>
          <w:tcPr>
            <w:tcW w:w="5211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Allergology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atopy</w:t>
            </w:r>
            <w:proofErr w:type="spellEnd"/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8.0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5.8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12.8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5.0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4.9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9.3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0221B4" w:rsidRPr="000221B4" w:rsidTr="000221B4">
        <w:trPr>
          <w:trHeight w:val="315"/>
        </w:trPr>
        <w:tc>
          <w:tcPr>
            <w:tcW w:w="5211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Miscellaneous</w:t>
            </w:r>
            <w:proofErr w:type="spellEnd"/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14.5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6.8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16.6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5.6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4.5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29329C" w:rsidRPr="000221B4" w:rsidTr="000221B4">
        <w:trPr>
          <w:trHeight w:val="315"/>
        </w:trPr>
        <w:tc>
          <w:tcPr>
            <w:tcW w:w="5211" w:type="dxa"/>
            <w:tcBorders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Healthy, exclusion or status after a disease</w:t>
            </w:r>
          </w:p>
        </w:tc>
        <w:tc>
          <w:tcPr>
            <w:tcW w:w="623" w:type="dxa"/>
            <w:tcBorders>
              <w:left w:val="nil"/>
              <w:right w:val="nil"/>
            </w:tcBorders>
            <w:noWrap/>
            <w:hideMark/>
          </w:tcPr>
          <w:p w:rsidR="0029329C" w:rsidRPr="000221B4" w:rsidRDefault="0029329C" w:rsidP="00022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19" w:type="dxa"/>
            <w:tcBorders>
              <w:left w:val="nil"/>
              <w:righ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14.5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12.3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16.0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35" w:type="dxa"/>
            <w:tcBorders>
              <w:left w:val="nil"/>
            </w:tcBorders>
            <w:noWrap/>
            <w:hideMark/>
          </w:tcPr>
          <w:p w:rsidR="0029329C" w:rsidRPr="000221B4" w:rsidRDefault="00293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5.2 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4.1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21B4">
              <w:rPr>
                <w:rFonts w:ascii="Arial" w:hAnsi="Arial" w:cs="Arial"/>
                <w:b/>
                <w:bCs/>
                <w:sz w:val="20"/>
                <w:szCs w:val="20"/>
              </w:rPr>
              <w:t>6.6</w:t>
            </w:r>
            <w:r w:rsidR="00AF5999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</w:tbl>
    <w:p w:rsidR="0061744C" w:rsidRDefault="0061744C" w:rsidP="00122B43">
      <w:pPr>
        <w:spacing w:line="360" w:lineRule="auto"/>
        <w:rPr>
          <w:rFonts w:ascii="Arial" w:hAnsi="Arial" w:cs="Arial"/>
        </w:rPr>
      </w:pPr>
    </w:p>
    <w:p w:rsidR="00122B43" w:rsidRDefault="00AF5999" w:rsidP="00122B43">
      <w:pPr>
        <w:spacing w:line="360" w:lineRule="auto"/>
        <w:rPr>
          <w:rFonts w:ascii="Arial" w:hAnsi="Arial" w:cs="Arial"/>
          <w:lang w:val="en-US"/>
        </w:rPr>
      </w:pPr>
      <w:r w:rsidRPr="00AF5999">
        <w:rPr>
          <w:rFonts w:ascii="Arial" w:hAnsi="Arial" w:cs="Arial"/>
          <w:lang w:val="en-US"/>
        </w:rPr>
        <w:t>Data are presented as median with IQR</w:t>
      </w:r>
      <w:r>
        <w:rPr>
          <w:rFonts w:ascii="Arial" w:hAnsi="Arial" w:cs="Arial"/>
          <w:lang w:val="en-US"/>
        </w:rPr>
        <w:t xml:space="preserve">. </w:t>
      </w:r>
      <w:r w:rsidR="00122B43" w:rsidRPr="00122B43">
        <w:rPr>
          <w:rFonts w:ascii="Arial" w:hAnsi="Arial" w:cs="Arial"/>
          <w:lang w:val="en-US"/>
        </w:rPr>
        <w:t>Patients in the control cohort show a wide range of different diag</w:t>
      </w:r>
      <w:r w:rsidR="00122B43">
        <w:rPr>
          <w:rFonts w:ascii="Arial" w:hAnsi="Arial" w:cs="Arial"/>
          <w:lang w:val="en-US"/>
        </w:rPr>
        <w:t xml:space="preserve">noses, n = 19 are healthy. Median age differs between different disease groups with youngest patients in the group of children with dystrophy and feeding disorders. This group also shows higher </w:t>
      </w:r>
      <w:proofErr w:type="spellStart"/>
      <w:r w:rsidR="00122B43">
        <w:rPr>
          <w:rFonts w:ascii="Arial" w:hAnsi="Arial" w:cs="Arial"/>
          <w:lang w:val="en-US"/>
        </w:rPr>
        <w:t>sNfL</w:t>
      </w:r>
      <w:proofErr w:type="spellEnd"/>
      <w:r w:rsidR="00122B43">
        <w:rPr>
          <w:rFonts w:ascii="Arial" w:hAnsi="Arial" w:cs="Arial"/>
          <w:lang w:val="en-US"/>
        </w:rPr>
        <w:t xml:space="preserve"> levels than most of the other groups. The only exception </w:t>
      </w:r>
      <w:r w:rsidR="0067273B">
        <w:rPr>
          <w:rFonts w:ascii="Arial" w:hAnsi="Arial" w:cs="Arial"/>
          <w:lang w:val="en-US"/>
        </w:rPr>
        <w:t>is</w:t>
      </w:r>
      <w:r w:rsidR="00122B43">
        <w:rPr>
          <w:rFonts w:ascii="Arial" w:hAnsi="Arial" w:cs="Arial"/>
          <w:lang w:val="en-US"/>
        </w:rPr>
        <w:t xml:space="preserve"> the</w:t>
      </w:r>
      <w:r w:rsidR="0067273B">
        <w:rPr>
          <w:rFonts w:ascii="Arial" w:hAnsi="Arial" w:cs="Arial"/>
          <w:lang w:val="en-US"/>
        </w:rPr>
        <w:t xml:space="preserve"> group of</w:t>
      </w:r>
      <w:r w:rsidR="00122B43">
        <w:rPr>
          <w:rFonts w:ascii="Arial" w:hAnsi="Arial" w:cs="Arial"/>
          <w:lang w:val="en-US"/>
        </w:rPr>
        <w:t xml:space="preserve"> patients with </w:t>
      </w:r>
      <w:proofErr w:type="spellStart"/>
      <w:r w:rsidR="00122B43">
        <w:rPr>
          <w:rFonts w:ascii="Arial" w:hAnsi="Arial" w:cs="Arial"/>
          <w:lang w:val="en-US"/>
        </w:rPr>
        <w:t>nephrological</w:t>
      </w:r>
      <w:proofErr w:type="spellEnd"/>
      <w:r w:rsidR="00122B43">
        <w:rPr>
          <w:rFonts w:ascii="Arial" w:hAnsi="Arial" w:cs="Arial"/>
          <w:lang w:val="en-US"/>
        </w:rPr>
        <w:t xml:space="preserve"> diseases other than malformations, </w:t>
      </w:r>
      <w:proofErr w:type="spellStart"/>
      <w:r w:rsidR="00122B43">
        <w:rPr>
          <w:rFonts w:ascii="Arial" w:hAnsi="Arial" w:cs="Arial"/>
          <w:lang w:val="en-US"/>
        </w:rPr>
        <w:t>haematuria</w:t>
      </w:r>
      <w:proofErr w:type="spellEnd"/>
      <w:r w:rsidR="00122B4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122B43">
        <w:rPr>
          <w:rFonts w:ascii="Arial" w:hAnsi="Arial" w:cs="Arial"/>
          <w:lang w:val="en-US"/>
        </w:rPr>
        <w:t>oder</w:t>
      </w:r>
      <w:proofErr w:type="spellEnd"/>
      <w:proofErr w:type="gramEnd"/>
      <w:r w:rsidR="00122B43">
        <w:rPr>
          <w:rFonts w:ascii="Arial" w:hAnsi="Arial" w:cs="Arial"/>
          <w:lang w:val="en-US"/>
        </w:rPr>
        <w:t xml:space="preserve"> proteinuria. </w:t>
      </w:r>
      <w:r w:rsidR="0067273B">
        <w:rPr>
          <w:rFonts w:ascii="Arial" w:hAnsi="Arial" w:cs="Arial"/>
          <w:lang w:val="en-US"/>
        </w:rPr>
        <w:t xml:space="preserve">They had chronic renal failure </w:t>
      </w:r>
      <w:r w:rsidR="00005B50">
        <w:rPr>
          <w:rFonts w:ascii="Arial" w:hAnsi="Arial" w:cs="Arial"/>
          <w:lang w:val="en-US"/>
        </w:rPr>
        <w:t xml:space="preserve">stage III </w:t>
      </w:r>
      <w:bookmarkStart w:id="0" w:name="_GoBack"/>
      <w:bookmarkEnd w:id="0"/>
      <w:r w:rsidR="0067273B">
        <w:rPr>
          <w:rFonts w:ascii="Arial" w:hAnsi="Arial" w:cs="Arial"/>
          <w:lang w:val="en-US"/>
        </w:rPr>
        <w:t>due to p</w:t>
      </w:r>
      <w:r w:rsidR="0067273B" w:rsidRPr="0067273B">
        <w:rPr>
          <w:rFonts w:ascii="Arial" w:hAnsi="Arial" w:cs="Arial"/>
          <w:lang w:val="en-US"/>
        </w:rPr>
        <w:t>olycystic kidney disease</w:t>
      </w:r>
      <w:r w:rsidR="0067273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="0067273B">
        <w:rPr>
          <w:rFonts w:ascii="Arial" w:hAnsi="Arial" w:cs="Arial"/>
          <w:lang w:val="en-US"/>
        </w:rPr>
        <w:t xml:space="preserve">1.3 years old, </w:t>
      </w:r>
      <w:proofErr w:type="spellStart"/>
      <w:r w:rsidR="0067273B">
        <w:rPr>
          <w:rFonts w:ascii="Arial" w:hAnsi="Arial" w:cs="Arial"/>
          <w:lang w:val="en-US"/>
        </w:rPr>
        <w:t>sNfL</w:t>
      </w:r>
      <w:proofErr w:type="spellEnd"/>
      <w:r w:rsidR="0067273B">
        <w:rPr>
          <w:rFonts w:ascii="Arial" w:hAnsi="Arial" w:cs="Arial"/>
          <w:lang w:val="en-US"/>
        </w:rPr>
        <w:t xml:space="preserve"> 18.7 </w:t>
      </w:r>
      <w:proofErr w:type="spellStart"/>
      <w:r w:rsidR="0067273B">
        <w:rPr>
          <w:rFonts w:ascii="Arial" w:hAnsi="Arial" w:cs="Arial"/>
          <w:lang w:val="en-US"/>
        </w:rPr>
        <w:t>pg</w:t>
      </w:r>
      <w:proofErr w:type="spellEnd"/>
      <w:r w:rsidR="0067273B">
        <w:rPr>
          <w:rFonts w:ascii="Arial" w:hAnsi="Arial" w:cs="Arial"/>
          <w:lang w:val="en-US"/>
        </w:rPr>
        <w:t>/mL</w:t>
      </w:r>
      <w:r>
        <w:rPr>
          <w:rFonts w:ascii="Arial" w:hAnsi="Arial" w:cs="Arial"/>
          <w:lang w:val="en-US"/>
        </w:rPr>
        <w:t>)</w:t>
      </w:r>
      <w:r w:rsidR="0067273B">
        <w:rPr>
          <w:rFonts w:ascii="Arial" w:hAnsi="Arial" w:cs="Arial"/>
          <w:lang w:val="en-US"/>
        </w:rPr>
        <w:t xml:space="preserve">, VACTERL association with renal </w:t>
      </w:r>
      <w:proofErr w:type="spellStart"/>
      <w:r w:rsidR="0067273B">
        <w:rPr>
          <w:rFonts w:ascii="Arial" w:hAnsi="Arial" w:cs="Arial"/>
          <w:lang w:val="en-US"/>
        </w:rPr>
        <w:t>agenesia</w:t>
      </w:r>
      <w:proofErr w:type="spellEnd"/>
      <w:r w:rsidR="0067273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="0067273B">
        <w:rPr>
          <w:rFonts w:ascii="Arial" w:hAnsi="Arial" w:cs="Arial"/>
          <w:lang w:val="en-US"/>
        </w:rPr>
        <w:t xml:space="preserve">3.6 years, </w:t>
      </w:r>
      <w:proofErr w:type="spellStart"/>
      <w:r w:rsidR="0067273B">
        <w:rPr>
          <w:rFonts w:ascii="Arial" w:hAnsi="Arial" w:cs="Arial"/>
          <w:lang w:val="en-US"/>
        </w:rPr>
        <w:t>sNfL</w:t>
      </w:r>
      <w:proofErr w:type="spellEnd"/>
      <w:r w:rsidR="0067273B">
        <w:rPr>
          <w:rFonts w:ascii="Arial" w:hAnsi="Arial" w:cs="Arial"/>
          <w:lang w:val="en-US"/>
        </w:rPr>
        <w:t xml:space="preserve"> 12.4 </w:t>
      </w:r>
      <w:proofErr w:type="spellStart"/>
      <w:r w:rsidR="0067273B">
        <w:rPr>
          <w:rFonts w:ascii="Arial" w:hAnsi="Arial" w:cs="Arial"/>
          <w:lang w:val="en-US"/>
        </w:rPr>
        <w:lastRenderedPageBreak/>
        <w:t>pg</w:t>
      </w:r>
      <w:proofErr w:type="spellEnd"/>
      <w:r w:rsidR="0067273B">
        <w:rPr>
          <w:rFonts w:ascii="Arial" w:hAnsi="Arial" w:cs="Arial"/>
          <w:lang w:val="en-US"/>
        </w:rPr>
        <w:t>/mL</w:t>
      </w:r>
      <w:r>
        <w:rPr>
          <w:rFonts w:ascii="Arial" w:hAnsi="Arial" w:cs="Arial"/>
          <w:lang w:val="en-US"/>
        </w:rPr>
        <w:t>)</w:t>
      </w:r>
      <w:r w:rsidR="0067273B">
        <w:rPr>
          <w:rFonts w:ascii="Arial" w:hAnsi="Arial" w:cs="Arial"/>
          <w:lang w:val="en-US"/>
        </w:rPr>
        <w:t>, renal Cysts and diabetes s</w:t>
      </w:r>
      <w:r w:rsidR="0067273B" w:rsidRPr="0067273B">
        <w:rPr>
          <w:rFonts w:ascii="Arial" w:hAnsi="Arial" w:cs="Arial"/>
          <w:lang w:val="en-US"/>
        </w:rPr>
        <w:t xml:space="preserve">yndrome </w:t>
      </w:r>
      <w:r w:rsidR="0067273B">
        <w:rPr>
          <w:rFonts w:ascii="Arial" w:hAnsi="Arial" w:cs="Arial"/>
          <w:lang w:val="en-US"/>
        </w:rPr>
        <w:t>with</w:t>
      </w:r>
      <w:r w:rsidR="0067273B" w:rsidRPr="0067273B">
        <w:rPr>
          <w:rFonts w:ascii="Arial" w:hAnsi="Arial" w:cs="Arial"/>
          <w:lang w:val="en-US"/>
        </w:rPr>
        <w:t xml:space="preserve"> </w:t>
      </w:r>
      <w:r w:rsidR="0067273B">
        <w:rPr>
          <w:rFonts w:ascii="Arial" w:hAnsi="Arial" w:cs="Arial"/>
          <w:lang w:val="en-US"/>
        </w:rPr>
        <w:t xml:space="preserve">chronic renal failure stage II </w:t>
      </w:r>
      <w:r>
        <w:rPr>
          <w:rFonts w:ascii="Arial" w:hAnsi="Arial" w:cs="Arial"/>
          <w:lang w:val="en-US"/>
        </w:rPr>
        <w:t>(</w:t>
      </w:r>
      <w:r w:rsidR="0067273B">
        <w:rPr>
          <w:rFonts w:ascii="Arial" w:hAnsi="Arial" w:cs="Arial"/>
          <w:lang w:val="en-US"/>
        </w:rPr>
        <w:t xml:space="preserve">4.9 years, </w:t>
      </w:r>
      <w:proofErr w:type="spellStart"/>
      <w:r w:rsidR="0067273B">
        <w:rPr>
          <w:rFonts w:ascii="Arial" w:hAnsi="Arial" w:cs="Arial"/>
          <w:lang w:val="en-US"/>
        </w:rPr>
        <w:t>sNfL</w:t>
      </w:r>
      <w:proofErr w:type="spellEnd"/>
      <w:r w:rsidR="0067273B">
        <w:rPr>
          <w:rFonts w:ascii="Arial" w:hAnsi="Arial" w:cs="Arial"/>
          <w:lang w:val="en-US"/>
        </w:rPr>
        <w:t xml:space="preserve"> 14.9 </w:t>
      </w:r>
      <w:proofErr w:type="spellStart"/>
      <w:r w:rsidR="0067273B">
        <w:rPr>
          <w:rFonts w:ascii="Arial" w:hAnsi="Arial" w:cs="Arial"/>
          <w:lang w:val="en-US"/>
        </w:rPr>
        <w:t>pg</w:t>
      </w:r>
      <w:proofErr w:type="spellEnd"/>
      <w:r w:rsidR="0067273B">
        <w:rPr>
          <w:rFonts w:ascii="Arial" w:hAnsi="Arial" w:cs="Arial"/>
          <w:lang w:val="en-US"/>
        </w:rPr>
        <w:t>/mL</w:t>
      </w:r>
      <w:r>
        <w:rPr>
          <w:rFonts w:ascii="Arial" w:hAnsi="Arial" w:cs="Arial"/>
          <w:lang w:val="en-US"/>
        </w:rPr>
        <w:t>)</w:t>
      </w:r>
      <w:r w:rsidR="0067273B">
        <w:rPr>
          <w:rFonts w:ascii="Arial" w:hAnsi="Arial" w:cs="Arial"/>
          <w:lang w:val="en-US"/>
        </w:rPr>
        <w:t>, r</w:t>
      </w:r>
      <w:r w:rsidR="0067273B" w:rsidRPr="0067273B">
        <w:rPr>
          <w:rFonts w:ascii="Arial" w:hAnsi="Arial" w:cs="Arial"/>
          <w:lang w:val="en-US"/>
        </w:rPr>
        <w:t>enal tubular acidosis</w:t>
      </w:r>
      <w:r w:rsidR="0067273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="0067273B">
        <w:rPr>
          <w:rFonts w:ascii="Arial" w:hAnsi="Arial" w:cs="Arial"/>
          <w:lang w:val="en-US"/>
        </w:rPr>
        <w:t xml:space="preserve">12 years, </w:t>
      </w:r>
      <w:proofErr w:type="spellStart"/>
      <w:r w:rsidR="0067273B">
        <w:rPr>
          <w:rFonts w:ascii="Arial" w:hAnsi="Arial" w:cs="Arial"/>
          <w:lang w:val="en-US"/>
        </w:rPr>
        <w:t>sNfL</w:t>
      </w:r>
      <w:proofErr w:type="spellEnd"/>
      <w:r w:rsidR="0067273B">
        <w:rPr>
          <w:rFonts w:ascii="Arial" w:hAnsi="Arial" w:cs="Arial"/>
          <w:lang w:val="en-US"/>
        </w:rPr>
        <w:t xml:space="preserve"> 3.5 </w:t>
      </w:r>
      <w:proofErr w:type="spellStart"/>
      <w:r w:rsidR="0067273B">
        <w:rPr>
          <w:rFonts w:ascii="Arial" w:hAnsi="Arial" w:cs="Arial"/>
          <w:lang w:val="en-US"/>
        </w:rPr>
        <w:t>pg</w:t>
      </w:r>
      <w:proofErr w:type="spellEnd"/>
      <w:r w:rsidR="0067273B">
        <w:rPr>
          <w:rFonts w:ascii="Arial" w:hAnsi="Arial" w:cs="Arial"/>
          <w:lang w:val="en-US"/>
        </w:rPr>
        <w:t>/mL</w:t>
      </w:r>
      <w:r>
        <w:rPr>
          <w:rFonts w:ascii="Arial" w:hAnsi="Arial" w:cs="Arial"/>
          <w:lang w:val="en-US"/>
        </w:rPr>
        <w:t>)</w:t>
      </w:r>
      <w:r w:rsidR="0067273B">
        <w:rPr>
          <w:rFonts w:ascii="Arial" w:hAnsi="Arial" w:cs="Arial"/>
          <w:lang w:val="en-US"/>
        </w:rPr>
        <w:t xml:space="preserve"> and n</w:t>
      </w:r>
      <w:r w:rsidR="0067273B" w:rsidRPr="0067273B">
        <w:rPr>
          <w:rFonts w:ascii="Arial" w:hAnsi="Arial" w:cs="Arial"/>
          <w:lang w:val="en-US"/>
        </w:rPr>
        <w:t>ephropathy</w:t>
      </w:r>
      <w:r w:rsidR="0067273B">
        <w:rPr>
          <w:rFonts w:ascii="Arial" w:hAnsi="Arial" w:cs="Arial"/>
          <w:lang w:val="en-US"/>
        </w:rPr>
        <w:t xml:space="preserve"> with</w:t>
      </w:r>
      <w:r w:rsidR="0067273B" w:rsidRPr="0067273B">
        <w:rPr>
          <w:rFonts w:ascii="Arial" w:hAnsi="Arial" w:cs="Arial"/>
          <w:lang w:val="en-US"/>
        </w:rPr>
        <w:t xml:space="preserve"> </w:t>
      </w:r>
      <w:proofErr w:type="spellStart"/>
      <w:r w:rsidR="0067273B" w:rsidRPr="0067273B">
        <w:rPr>
          <w:rFonts w:ascii="Arial" w:hAnsi="Arial" w:cs="Arial"/>
          <w:lang w:val="en-US"/>
        </w:rPr>
        <w:t>nephrocalcinosis</w:t>
      </w:r>
      <w:proofErr w:type="spellEnd"/>
      <w:r w:rsidR="0067273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="0067273B">
        <w:rPr>
          <w:rFonts w:ascii="Arial" w:hAnsi="Arial" w:cs="Arial"/>
          <w:lang w:val="en-US"/>
        </w:rPr>
        <w:t xml:space="preserve">6.8 years, </w:t>
      </w:r>
      <w:proofErr w:type="spellStart"/>
      <w:r w:rsidR="0067273B">
        <w:rPr>
          <w:rFonts w:ascii="Arial" w:hAnsi="Arial" w:cs="Arial"/>
          <w:lang w:val="en-US"/>
        </w:rPr>
        <w:t>sNfL</w:t>
      </w:r>
      <w:proofErr w:type="spellEnd"/>
      <w:r w:rsidR="0067273B">
        <w:rPr>
          <w:rFonts w:ascii="Arial" w:hAnsi="Arial" w:cs="Arial"/>
          <w:lang w:val="en-US"/>
        </w:rPr>
        <w:t xml:space="preserve"> 4.1 </w:t>
      </w:r>
      <w:proofErr w:type="spellStart"/>
      <w:r w:rsidR="0067273B">
        <w:rPr>
          <w:rFonts w:ascii="Arial" w:hAnsi="Arial" w:cs="Arial"/>
          <w:lang w:val="en-US"/>
        </w:rPr>
        <w:t>pg</w:t>
      </w:r>
      <w:proofErr w:type="spellEnd"/>
      <w:r w:rsidR="0067273B">
        <w:rPr>
          <w:rFonts w:ascii="Arial" w:hAnsi="Arial" w:cs="Arial"/>
          <w:lang w:val="en-US"/>
        </w:rPr>
        <w:t>/mL</w:t>
      </w:r>
      <w:r>
        <w:rPr>
          <w:rFonts w:ascii="Arial" w:hAnsi="Arial" w:cs="Arial"/>
          <w:lang w:val="en-US"/>
        </w:rPr>
        <w:t>)</w:t>
      </w:r>
      <w:r w:rsidR="0067273B">
        <w:rPr>
          <w:rFonts w:ascii="Arial" w:hAnsi="Arial" w:cs="Arial"/>
          <w:lang w:val="en-US"/>
        </w:rPr>
        <w:t>.</w:t>
      </w:r>
    </w:p>
    <w:sectPr w:rsidR="00122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204"/>
    <w:multiLevelType w:val="hybridMultilevel"/>
    <w:tmpl w:val="589A9648"/>
    <w:lvl w:ilvl="0" w:tplc="2BE8B52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9C"/>
    <w:rsid w:val="00005B50"/>
    <w:rsid w:val="000221B4"/>
    <w:rsid w:val="00122B43"/>
    <w:rsid w:val="0029329C"/>
    <w:rsid w:val="0061744C"/>
    <w:rsid w:val="0067273B"/>
    <w:rsid w:val="00AF5999"/>
    <w:rsid w:val="00DC55CA"/>
    <w:rsid w:val="00E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3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Reinert</dc:creator>
  <cp:lastModifiedBy>Marie-Christine Reinert</cp:lastModifiedBy>
  <cp:revision>8</cp:revision>
  <dcterms:created xsi:type="dcterms:W3CDTF">2020-02-25T11:29:00Z</dcterms:created>
  <dcterms:modified xsi:type="dcterms:W3CDTF">2020-02-25T12:11:00Z</dcterms:modified>
</cp:coreProperties>
</file>