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7" w:rsidRDefault="00B516AD">
      <w:bookmarkStart w:id="0" w:name="_GoBack"/>
      <w:bookmarkEnd w:id="0"/>
    </w:p>
    <w:p w:rsidR="009632B7" w:rsidRPr="00CB4095" w:rsidRDefault="009632B7" w:rsidP="009632B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e-</w:t>
      </w:r>
      <w:r w:rsidRPr="00CB4095">
        <w:rPr>
          <w:rFonts w:ascii="Arial" w:hAnsi="Arial" w:cs="Arial"/>
          <w:b/>
          <w:sz w:val="24"/>
          <w:szCs w:val="24"/>
        </w:rPr>
        <w:t xml:space="preserve">1 Cell </w:t>
      </w:r>
      <w:r>
        <w:rPr>
          <w:rFonts w:ascii="Arial" w:hAnsi="Arial" w:cs="Arial"/>
          <w:b/>
          <w:sz w:val="24"/>
          <w:szCs w:val="24"/>
        </w:rPr>
        <w:t>p</w:t>
      </w:r>
      <w:r w:rsidRPr="00CB4095">
        <w:rPr>
          <w:rFonts w:ascii="Arial" w:hAnsi="Arial" w:cs="Arial"/>
          <w:b/>
          <w:sz w:val="24"/>
          <w:szCs w:val="24"/>
        </w:rPr>
        <w:t xml:space="preserve">henotyping </w:t>
      </w:r>
      <w:r>
        <w:rPr>
          <w:rFonts w:ascii="Arial" w:hAnsi="Arial" w:cs="Arial"/>
          <w:b/>
          <w:sz w:val="24"/>
          <w:szCs w:val="24"/>
        </w:rPr>
        <w:t>d</w:t>
      </w:r>
      <w:r w:rsidRPr="00CB4095">
        <w:rPr>
          <w:rFonts w:ascii="Arial" w:hAnsi="Arial" w:cs="Arial"/>
          <w:b/>
          <w:sz w:val="24"/>
          <w:szCs w:val="24"/>
        </w:rPr>
        <w:t xml:space="preserve">escriptions for </w:t>
      </w:r>
      <w:proofErr w:type="spellStart"/>
      <w:r w:rsidRPr="00CB4095">
        <w:rPr>
          <w:rFonts w:ascii="Arial" w:hAnsi="Arial" w:cs="Arial"/>
          <w:b/>
          <w:sz w:val="24"/>
          <w:szCs w:val="24"/>
        </w:rPr>
        <w:t>Epiontis</w:t>
      </w:r>
      <w:proofErr w:type="spellEnd"/>
      <w:r w:rsidRPr="00CB40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Pr="00CB4095">
        <w:rPr>
          <w:rFonts w:ascii="Arial" w:hAnsi="Arial" w:cs="Arial"/>
          <w:b/>
          <w:sz w:val="24"/>
          <w:szCs w:val="24"/>
        </w:rPr>
        <w:t xml:space="preserve">pigenetic </w:t>
      </w:r>
      <w:r>
        <w:rPr>
          <w:rFonts w:ascii="Arial" w:hAnsi="Arial" w:cs="Arial"/>
          <w:b/>
          <w:sz w:val="24"/>
          <w:szCs w:val="24"/>
        </w:rPr>
        <w:t>c</w:t>
      </w:r>
      <w:r w:rsidRPr="00CB4095">
        <w:rPr>
          <w:rFonts w:ascii="Arial" w:hAnsi="Arial" w:cs="Arial"/>
          <w:b/>
          <w:sz w:val="24"/>
          <w:szCs w:val="24"/>
        </w:rPr>
        <w:t xml:space="preserve">ell </w:t>
      </w:r>
      <w:r>
        <w:rPr>
          <w:rFonts w:ascii="Arial" w:hAnsi="Arial" w:cs="Arial"/>
          <w:b/>
          <w:sz w:val="24"/>
          <w:szCs w:val="24"/>
        </w:rPr>
        <w:t>c</w:t>
      </w:r>
      <w:r w:rsidRPr="00CB4095">
        <w:rPr>
          <w:rFonts w:ascii="Arial" w:hAnsi="Arial" w:cs="Arial"/>
          <w:b/>
          <w:sz w:val="24"/>
          <w:szCs w:val="24"/>
        </w:rPr>
        <w:t xml:space="preserve">ounting of </w:t>
      </w:r>
      <w:r>
        <w:rPr>
          <w:rFonts w:ascii="Arial" w:hAnsi="Arial" w:cs="Arial"/>
          <w:b/>
          <w:sz w:val="24"/>
          <w:szCs w:val="24"/>
        </w:rPr>
        <w:t>l</w:t>
      </w:r>
      <w:r w:rsidRPr="00CB4095">
        <w:rPr>
          <w:rFonts w:ascii="Arial" w:hAnsi="Arial" w:cs="Arial"/>
          <w:b/>
          <w:sz w:val="24"/>
          <w:szCs w:val="24"/>
        </w:rPr>
        <w:t xml:space="preserve">eukocyte </w:t>
      </w:r>
      <w:r>
        <w:rPr>
          <w:rFonts w:ascii="Arial" w:hAnsi="Arial" w:cs="Arial"/>
          <w:b/>
          <w:sz w:val="24"/>
          <w:szCs w:val="24"/>
        </w:rPr>
        <w:t>s</w:t>
      </w:r>
      <w:r w:rsidRPr="00CB4095">
        <w:rPr>
          <w:rFonts w:ascii="Arial" w:hAnsi="Arial" w:cs="Arial"/>
          <w:b/>
          <w:sz w:val="24"/>
          <w:szCs w:val="24"/>
        </w:rPr>
        <w:t xml:space="preserve">ubsets in </w:t>
      </w:r>
      <w:r>
        <w:rPr>
          <w:rFonts w:ascii="Arial" w:hAnsi="Arial" w:cs="Arial"/>
          <w:b/>
          <w:sz w:val="24"/>
          <w:szCs w:val="24"/>
        </w:rPr>
        <w:t>f</w:t>
      </w:r>
      <w:r w:rsidRPr="00CB4095">
        <w:rPr>
          <w:rFonts w:ascii="Arial" w:hAnsi="Arial" w:cs="Arial"/>
          <w:b/>
          <w:sz w:val="24"/>
          <w:szCs w:val="24"/>
        </w:rPr>
        <w:t xml:space="preserve">rozen </w:t>
      </w:r>
      <w:r>
        <w:rPr>
          <w:rFonts w:ascii="Arial" w:hAnsi="Arial" w:cs="Arial"/>
          <w:b/>
          <w:sz w:val="24"/>
          <w:szCs w:val="24"/>
        </w:rPr>
        <w:t>whole b</w:t>
      </w:r>
      <w:r w:rsidRPr="00CB4095">
        <w:rPr>
          <w:rFonts w:ascii="Arial" w:hAnsi="Arial" w:cs="Arial"/>
          <w:b/>
          <w:sz w:val="24"/>
          <w:szCs w:val="24"/>
        </w:rPr>
        <w:t>lood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729"/>
        <w:gridCol w:w="6513"/>
      </w:tblGrid>
      <w:tr w:rsidR="009632B7" w:rsidTr="00453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9632B7" w:rsidRDefault="009632B7" w:rsidP="004535B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Leukocyte Subset</w:t>
            </w:r>
          </w:p>
        </w:tc>
        <w:tc>
          <w:tcPr>
            <w:tcW w:w="6768" w:type="dxa"/>
          </w:tcPr>
          <w:p w:rsidR="009632B7" w:rsidRDefault="009632B7" w:rsidP="004535B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Epigenetic Assay</w:t>
            </w:r>
          </w:p>
        </w:tc>
      </w:tr>
      <w:tr w:rsidR="009632B7" w:rsidTr="0045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 cells</w:t>
            </w:r>
          </w:p>
        </w:tc>
        <w:tc>
          <w:tcPr>
            <w:tcW w:w="676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2441">
              <w:rPr>
                <w:rFonts w:ascii="Arial" w:hAnsi="Arial" w:cs="Arial"/>
                <w:sz w:val="24"/>
                <w:szCs w:val="24"/>
              </w:rPr>
              <w:t>The epigenetic BLC assay (qPCR25) is based on the on the LDL receptor related protein 5 (LRP5) gene.</w:t>
            </w:r>
          </w:p>
        </w:tc>
      </w:tr>
      <w:tr w:rsidR="009632B7" w:rsidTr="00453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 cells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2441">
              <w:rPr>
                <w:rFonts w:ascii="Arial" w:hAnsi="Arial" w:cs="Arial"/>
                <w:sz w:val="24"/>
                <w:szCs w:val="24"/>
              </w:rPr>
              <w:t>The epigenetic CD3 assay (qPCR2) is based on the intergenic region of the CD3D/CD3G gene (encoding for the CD3D and CD3G molecule of the CD3-TCR complex).</w:t>
            </w:r>
          </w:p>
        </w:tc>
      </w:tr>
      <w:tr w:rsidR="009632B7" w:rsidTr="0045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CD8+ cytotoxic T cells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2441">
              <w:rPr>
                <w:rFonts w:ascii="Arial" w:hAnsi="Arial" w:cs="Arial"/>
                <w:sz w:val="24"/>
                <w:szCs w:val="24"/>
              </w:rPr>
              <w:t>The epigenetic CD8 assay (qPCR19-2) is based on the CD8B gene, which encodes for the CD8 beta chain isoforms of the CD8 antigen.</w:t>
            </w:r>
          </w:p>
        </w:tc>
      </w:tr>
      <w:tr w:rsidR="009632B7" w:rsidTr="00453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CD4+ T helper cells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2441">
              <w:rPr>
                <w:rFonts w:ascii="Arial" w:hAnsi="Arial" w:cs="Arial"/>
                <w:sz w:val="24"/>
                <w:szCs w:val="24"/>
              </w:rPr>
              <w:t>The epigenetic CD4 assay (qPCR12-2) is based on the CD4 gene (cluster of differentiation 4), which encodes a membrane glycoprotein of T lymphocytes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32B7" w:rsidTr="0045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Regulatory T cells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2441">
              <w:rPr>
                <w:rFonts w:ascii="Arial" w:hAnsi="Arial" w:cs="Arial"/>
                <w:sz w:val="24"/>
                <w:szCs w:val="24"/>
              </w:rPr>
              <w:t xml:space="preserve">The epigenetic </w:t>
            </w:r>
            <w:proofErr w:type="spellStart"/>
            <w:r w:rsidRPr="00332441">
              <w:rPr>
                <w:rFonts w:ascii="Arial" w:hAnsi="Arial" w:cs="Arial"/>
                <w:sz w:val="24"/>
                <w:szCs w:val="24"/>
              </w:rPr>
              <w:t>Treg</w:t>
            </w:r>
            <w:proofErr w:type="spellEnd"/>
            <w:r w:rsidRPr="00332441">
              <w:rPr>
                <w:rFonts w:ascii="Arial" w:hAnsi="Arial" w:cs="Arial"/>
                <w:sz w:val="24"/>
                <w:szCs w:val="24"/>
              </w:rPr>
              <w:t xml:space="preserve"> assay (qPCR1) is based on the TSDR (</w:t>
            </w:r>
            <w:proofErr w:type="spellStart"/>
            <w:r w:rsidRPr="00332441">
              <w:rPr>
                <w:rFonts w:ascii="Arial" w:hAnsi="Arial" w:cs="Arial"/>
                <w:sz w:val="24"/>
                <w:szCs w:val="24"/>
              </w:rPr>
              <w:t>Treg</w:t>
            </w:r>
            <w:proofErr w:type="spellEnd"/>
            <w:r w:rsidRPr="00332441">
              <w:rPr>
                <w:rFonts w:ascii="Arial" w:hAnsi="Arial" w:cs="Arial"/>
                <w:sz w:val="24"/>
                <w:szCs w:val="24"/>
              </w:rPr>
              <w:t xml:space="preserve">-specific </w:t>
            </w:r>
            <w:proofErr w:type="spellStart"/>
            <w:r w:rsidRPr="00332441">
              <w:rPr>
                <w:rFonts w:ascii="Arial" w:hAnsi="Arial" w:cs="Arial"/>
                <w:sz w:val="24"/>
                <w:szCs w:val="24"/>
              </w:rPr>
              <w:t>demethylated</w:t>
            </w:r>
            <w:proofErr w:type="spellEnd"/>
            <w:r w:rsidRPr="00332441">
              <w:rPr>
                <w:rFonts w:ascii="Arial" w:hAnsi="Arial" w:cs="Arial"/>
                <w:sz w:val="24"/>
                <w:szCs w:val="24"/>
              </w:rPr>
              <w:t xml:space="preserve"> region) of the FOXP3 gene.</w:t>
            </w:r>
          </w:p>
        </w:tc>
      </w:tr>
      <w:tr w:rsidR="009632B7" w:rsidTr="00453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Th17 cells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2441">
              <w:rPr>
                <w:rFonts w:ascii="Arial" w:hAnsi="Arial" w:cs="Arial"/>
                <w:sz w:val="24"/>
                <w:szCs w:val="24"/>
              </w:rPr>
              <w:t xml:space="preserve">The epigenetic Th17 assay (qPCR14/qPCR14-2) is based on IL17A gene (Interleukin 17A), which encodes for a </w:t>
            </w:r>
            <w:proofErr w:type="spellStart"/>
            <w:r w:rsidRPr="00332441">
              <w:rPr>
                <w:rFonts w:ascii="Arial" w:hAnsi="Arial" w:cs="Arial"/>
                <w:sz w:val="24"/>
                <w:szCs w:val="24"/>
              </w:rPr>
              <w:t>proinflammatory</w:t>
            </w:r>
            <w:proofErr w:type="spellEnd"/>
            <w:r w:rsidRPr="00332441">
              <w:rPr>
                <w:rFonts w:ascii="Arial" w:hAnsi="Arial" w:cs="Arial"/>
                <w:sz w:val="24"/>
                <w:szCs w:val="24"/>
              </w:rPr>
              <w:t xml:space="preserve"> cytokine produced by activated T cells.</w:t>
            </w:r>
          </w:p>
        </w:tc>
      </w:tr>
      <w:tr w:rsidR="009632B7" w:rsidTr="0045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Naive CD8+ T cells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2441">
              <w:rPr>
                <w:rFonts w:ascii="Arial" w:hAnsi="Arial" w:cs="Arial"/>
                <w:sz w:val="24"/>
                <w:szCs w:val="24"/>
              </w:rPr>
              <w:t xml:space="preserve">The epigenetic nCD8 assay (qPCR16-2) is based on the CD248 gene, a protein coding gene. </w:t>
            </w:r>
          </w:p>
        </w:tc>
      </w:tr>
      <w:tr w:rsidR="009632B7" w:rsidTr="00453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9632B7" w:rsidRDefault="009632B7" w:rsidP="004535B3">
            <w:pPr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PD1 cells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9632B7" w:rsidRPr="00332441" w:rsidRDefault="009632B7" w:rsidP="004535B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2441">
              <w:rPr>
                <w:rFonts w:ascii="Arial" w:hAnsi="Arial" w:cs="Arial"/>
                <w:sz w:val="24"/>
                <w:szCs w:val="24"/>
              </w:rPr>
              <w:t xml:space="preserve">The epigenetic PD1 assay (qPCR30) is based on the PDCD1 gene (Programmed Cell Death 1), which encodes a cell surface membrane protein of the immunoglobulin </w:t>
            </w:r>
            <w:r w:rsidRPr="00332441">
              <w:rPr>
                <w:rFonts w:ascii="Arial" w:hAnsi="Arial" w:cs="Arial"/>
                <w:sz w:val="24"/>
                <w:szCs w:val="24"/>
              </w:rPr>
              <w:lastRenderedPageBreak/>
              <w:t>superfamily that inter alia is presented on follicular T helper cells.</w:t>
            </w:r>
          </w:p>
        </w:tc>
      </w:tr>
    </w:tbl>
    <w:p w:rsidR="009632B7" w:rsidRPr="009632B7" w:rsidRDefault="009632B7"/>
    <w:sectPr w:rsidR="009632B7" w:rsidRPr="00963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AD" w:rsidRDefault="00B516AD" w:rsidP="00B516AD">
      <w:pPr>
        <w:spacing w:after="0" w:line="240" w:lineRule="auto"/>
      </w:pPr>
      <w:r>
        <w:separator/>
      </w:r>
    </w:p>
  </w:endnote>
  <w:endnote w:type="continuationSeparator" w:id="0">
    <w:p w:rsidR="00B516AD" w:rsidRDefault="00B516AD" w:rsidP="00B5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AD" w:rsidRDefault="00B51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AD" w:rsidRDefault="00B516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AD" w:rsidRDefault="00B51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AD" w:rsidRDefault="00B516AD" w:rsidP="00B516AD">
      <w:pPr>
        <w:spacing w:after="0" w:line="240" w:lineRule="auto"/>
      </w:pPr>
      <w:r>
        <w:separator/>
      </w:r>
    </w:p>
  </w:footnote>
  <w:footnote w:type="continuationSeparator" w:id="0">
    <w:p w:rsidR="00B516AD" w:rsidRDefault="00B516AD" w:rsidP="00B5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AD" w:rsidRDefault="00B51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AD" w:rsidRDefault="00B51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AD" w:rsidRDefault="00B51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7"/>
    <w:rsid w:val="000F2C96"/>
    <w:rsid w:val="004E0D41"/>
    <w:rsid w:val="009632B7"/>
    <w:rsid w:val="00B5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9632B7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51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1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A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9632B7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51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1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2020-05-07T16:33:00Z</dcterms:created>
  <dcterms:modified xsi:type="dcterms:W3CDTF">2020-05-07T16:33:00Z</dcterms:modified>
</cp:coreProperties>
</file>