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5C" w:rsidRPr="005C4266" w:rsidRDefault="00F5185C" w:rsidP="00F5185C">
      <w:pPr>
        <w:pStyle w:val="EndNoteBibliography"/>
        <w:spacing w:after="0"/>
        <w:jc w:val="center"/>
        <w:rPr>
          <w:b/>
          <w:sz w:val="24"/>
          <w:szCs w:val="24"/>
        </w:rPr>
      </w:pPr>
      <w:r w:rsidRPr="005C4266">
        <w:rPr>
          <w:b/>
          <w:sz w:val="24"/>
          <w:szCs w:val="24"/>
        </w:rPr>
        <w:t>SUPPLEMENTAL DATA</w:t>
      </w:r>
    </w:p>
    <w:p w:rsidR="00F5185C" w:rsidRPr="005C4266" w:rsidRDefault="00F5185C" w:rsidP="00F5185C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5C4266">
        <w:rPr>
          <w:rFonts w:ascii="Times New Roman" w:hAnsi="Times New Roman"/>
          <w:b/>
          <w:sz w:val="24"/>
          <w:szCs w:val="24"/>
        </w:rPr>
        <w:t xml:space="preserve">Table e-1 Summary of literature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1504"/>
        <w:gridCol w:w="1594"/>
        <w:gridCol w:w="1234"/>
        <w:gridCol w:w="1561"/>
        <w:gridCol w:w="1544"/>
      </w:tblGrid>
      <w:tr w:rsidR="00F5185C" w:rsidRPr="005C4266" w:rsidTr="00130AC5">
        <w:tc>
          <w:tcPr>
            <w:tcW w:w="1625" w:type="dxa"/>
            <w:tcBorders>
              <w:bottom w:val="single" w:sz="4" w:space="0" w:color="auto"/>
            </w:tcBorders>
          </w:tcPr>
          <w:p w:rsidR="00F5185C" w:rsidRPr="005C4266" w:rsidRDefault="00F5185C" w:rsidP="00130AC5">
            <w:pPr>
              <w:rPr>
                <w:rFonts w:ascii="Times New Roman" w:hAnsi="Times New Roman"/>
                <w:b/>
                <w:lang w:val="nl-NL"/>
              </w:rPr>
            </w:pPr>
            <w:r w:rsidRPr="005C4266">
              <w:rPr>
                <w:rFonts w:ascii="Times New Roman" w:hAnsi="Times New Roman"/>
                <w:b/>
                <w:lang w:val="nl-NL"/>
              </w:rPr>
              <w:t>Reference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F5185C" w:rsidRPr="005C4266" w:rsidRDefault="00F5185C" w:rsidP="00130AC5">
            <w:pPr>
              <w:rPr>
                <w:rFonts w:ascii="Times New Roman" w:hAnsi="Times New Roman"/>
                <w:b/>
                <w:lang w:val="nl-NL"/>
              </w:rPr>
            </w:pPr>
            <w:r w:rsidRPr="005C4266">
              <w:rPr>
                <w:rFonts w:ascii="Times New Roman" w:hAnsi="Times New Roman"/>
                <w:b/>
                <w:lang w:val="nl-NL"/>
              </w:rPr>
              <w:t>No. Of Patients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F5185C" w:rsidRPr="005C4266" w:rsidRDefault="00F5185C" w:rsidP="00130AC5">
            <w:pPr>
              <w:rPr>
                <w:rFonts w:ascii="Times New Roman" w:hAnsi="Times New Roman"/>
                <w:b/>
                <w:lang w:val="nl-NL"/>
              </w:rPr>
            </w:pPr>
            <w:r w:rsidRPr="005C4266">
              <w:rPr>
                <w:rFonts w:ascii="Times New Roman" w:hAnsi="Times New Roman"/>
                <w:b/>
                <w:lang w:val="nl-NL"/>
              </w:rPr>
              <w:t>Favorable treatment response</w:t>
            </w:r>
            <w:r w:rsidRPr="005C4266">
              <w:rPr>
                <w:rFonts w:ascii="Times New Roman" w:hAnsi="Times New Roman"/>
                <w:b/>
                <w:vertAlign w:val="superscript"/>
                <w:lang w:val="nl-NL"/>
              </w:rPr>
              <w:t>a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F5185C" w:rsidRPr="005C4266" w:rsidRDefault="00F5185C" w:rsidP="00130AC5">
            <w:pPr>
              <w:rPr>
                <w:rFonts w:ascii="Times New Roman" w:hAnsi="Times New Roman"/>
                <w:b/>
                <w:lang w:val="nl-NL"/>
              </w:rPr>
            </w:pPr>
            <w:r w:rsidRPr="005C4266">
              <w:rPr>
                <w:rFonts w:ascii="Times New Roman" w:hAnsi="Times New Roman"/>
                <w:b/>
                <w:lang w:val="nl-NL"/>
              </w:rPr>
              <w:t>Relapse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5185C" w:rsidRPr="005C4266" w:rsidRDefault="00F5185C" w:rsidP="00130AC5">
            <w:pPr>
              <w:rPr>
                <w:rFonts w:ascii="Times New Roman" w:hAnsi="Times New Roman"/>
                <w:b/>
                <w:lang w:val="nl-NL"/>
              </w:rPr>
            </w:pPr>
            <w:r w:rsidRPr="005C4266">
              <w:rPr>
                <w:rFonts w:ascii="Times New Roman" w:hAnsi="Times New Roman"/>
                <w:b/>
                <w:lang w:val="nl-NL"/>
              </w:rPr>
              <w:t>Adverse effects and mortality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5185C" w:rsidRPr="005C4266" w:rsidRDefault="00F5185C" w:rsidP="00130AC5">
            <w:pPr>
              <w:rPr>
                <w:rFonts w:ascii="Times New Roman" w:hAnsi="Times New Roman"/>
                <w:b/>
                <w:lang w:val="nl-NL"/>
              </w:rPr>
            </w:pPr>
            <w:r w:rsidRPr="005C4266">
              <w:rPr>
                <w:rFonts w:ascii="Times New Roman" w:hAnsi="Times New Roman"/>
                <w:b/>
                <w:lang w:val="nl-NL"/>
              </w:rPr>
              <w:t>Follow-up (months)</w:t>
            </w:r>
          </w:p>
        </w:tc>
      </w:tr>
      <w:tr w:rsidR="00F5185C" w:rsidRPr="005C4266" w:rsidTr="00130AC5">
        <w:tc>
          <w:tcPr>
            <w:tcW w:w="1625" w:type="dxa"/>
            <w:tcBorders>
              <w:top w:val="single" w:sz="4" w:space="0" w:color="auto"/>
            </w:tcBorders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Sodhi, 2008 (15)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4/4 (100%)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0/4 (0%)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None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F5185C" w:rsidRPr="005C4266" w:rsidRDefault="00F5185C" w:rsidP="00130AC5">
            <w:pPr>
              <w:rPr>
                <w:rFonts w:ascii="Times New Roman" w:hAnsi="Times New Roman"/>
                <w:vertAlign w:val="superscript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N/A</w:t>
            </w:r>
            <w:r w:rsidRPr="005C4266">
              <w:rPr>
                <w:rFonts w:ascii="Times New Roman" w:hAnsi="Times New Roman"/>
                <w:vertAlign w:val="superscript"/>
                <w:lang w:val="nl-NL"/>
              </w:rPr>
              <w:t>b</w:t>
            </w:r>
          </w:p>
        </w:tc>
      </w:tr>
      <w:tr w:rsidR="00F5185C" w:rsidRPr="005C4266" w:rsidTr="00130AC5">
        <w:tc>
          <w:tcPr>
            <w:tcW w:w="1625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Panselinas, 2009 (16)</w:t>
            </w:r>
          </w:p>
        </w:tc>
        <w:tc>
          <w:tcPr>
            <w:tcW w:w="1504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6</w:t>
            </w:r>
          </w:p>
        </w:tc>
        <w:tc>
          <w:tcPr>
            <w:tcW w:w="1594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5/6 (83%)</w:t>
            </w:r>
          </w:p>
        </w:tc>
        <w:tc>
          <w:tcPr>
            <w:tcW w:w="1234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6/6 (100%)</w:t>
            </w:r>
          </w:p>
        </w:tc>
        <w:tc>
          <w:tcPr>
            <w:tcW w:w="1561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N/A</w:t>
            </w:r>
          </w:p>
        </w:tc>
        <w:tc>
          <w:tcPr>
            <w:tcW w:w="1544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5 - 25</w:t>
            </w:r>
          </w:p>
        </w:tc>
      </w:tr>
      <w:tr w:rsidR="00F5185C" w:rsidRPr="005C4266" w:rsidTr="00130AC5">
        <w:tc>
          <w:tcPr>
            <w:tcW w:w="1625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Moravan, 2009 (17)</w:t>
            </w:r>
          </w:p>
        </w:tc>
        <w:tc>
          <w:tcPr>
            <w:tcW w:w="1504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7</w:t>
            </w:r>
          </w:p>
        </w:tc>
        <w:tc>
          <w:tcPr>
            <w:tcW w:w="1594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7/7 (100%)</w:t>
            </w:r>
          </w:p>
        </w:tc>
        <w:tc>
          <w:tcPr>
            <w:tcW w:w="1234" w:type="dxa"/>
          </w:tcPr>
          <w:p w:rsidR="00F5185C" w:rsidRPr="005C4266" w:rsidRDefault="00F5185C" w:rsidP="00130AC5">
            <w:pPr>
              <w:rPr>
                <w:rFonts w:ascii="Times New Roman" w:hAnsi="Times New Roman"/>
                <w:vertAlign w:val="superscript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2/7 (29%)</w:t>
            </w:r>
            <w:r w:rsidRPr="005C4266">
              <w:rPr>
                <w:rFonts w:ascii="Times New Roman" w:hAnsi="Times New Roman"/>
                <w:vertAlign w:val="superscript"/>
                <w:lang w:val="nl-NL"/>
              </w:rPr>
              <w:t>c</w:t>
            </w:r>
          </w:p>
        </w:tc>
        <w:tc>
          <w:tcPr>
            <w:tcW w:w="1561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1/7 (14%), no mortality</w:t>
            </w:r>
          </w:p>
        </w:tc>
        <w:tc>
          <w:tcPr>
            <w:tcW w:w="1544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24-39</w:t>
            </w:r>
          </w:p>
        </w:tc>
      </w:tr>
      <w:tr w:rsidR="00F5185C" w:rsidRPr="005C4266" w:rsidTr="00130AC5">
        <w:tc>
          <w:tcPr>
            <w:tcW w:w="1625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Santos, 2010 (11)</w:t>
            </w:r>
          </w:p>
        </w:tc>
        <w:tc>
          <w:tcPr>
            <w:tcW w:w="1504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4</w:t>
            </w:r>
          </w:p>
        </w:tc>
        <w:tc>
          <w:tcPr>
            <w:tcW w:w="1594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2/4 (50%)</w:t>
            </w:r>
          </w:p>
        </w:tc>
        <w:tc>
          <w:tcPr>
            <w:tcW w:w="1234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0/4 (0%)</w:t>
            </w:r>
          </w:p>
        </w:tc>
        <w:tc>
          <w:tcPr>
            <w:tcW w:w="1561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None</w:t>
            </w:r>
          </w:p>
        </w:tc>
        <w:tc>
          <w:tcPr>
            <w:tcW w:w="1544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N/A</w:t>
            </w:r>
          </w:p>
        </w:tc>
      </w:tr>
      <w:tr w:rsidR="00F5185C" w:rsidRPr="005C4266" w:rsidTr="00130AC5">
        <w:tc>
          <w:tcPr>
            <w:tcW w:w="1625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Hostettler, 2012 (10)</w:t>
            </w:r>
          </w:p>
        </w:tc>
        <w:tc>
          <w:tcPr>
            <w:tcW w:w="1504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6</w:t>
            </w:r>
          </w:p>
        </w:tc>
        <w:tc>
          <w:tcPr>
            <w:tcW w:w="1594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5/6 (83%)</w:t>
            </w:r>
          </w:p>
        </w:tc>
        <w:tc>
          <w:tcPr>
            <w:tcW w:w="1234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0/6 (0%)</w:t>
            </w:r>
          </w:p>
        </w:tc>
        <w:tc>
          <w:tcPr>
            <w:tcW w:w="1561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0/6 (0%), no mortality</w:t>
            </w:r>
          </w:p>
        </w:tc>
        <w:tc>
          <w:tcPr>
            <w:tcW w:w="1544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13-59</w:t>
            </w:r>
          </w:p>
        </w:tc>
      </w:tr>
      <w:tr w:rsidR="00F5185C" w:rsidRPr="005C4266" w:rsidTr="00130AC5">
        <w:tc>
          <w:tcPr>
            <w:tcW w:w="1625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Russell, 2013 (18)</w:t>
            </w:r>
          </w:p>
        </w:tc>
        <w:tc>
          <w:tcPr>
            <w:tcW w:w="1504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8</w:t>
            </w:r>
          </w:p>
        </w:tc>
        <w:tc>
          <w:tcPr>
            <w:tcW w:w="1594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5/8 (63%)</w:t>
            </w:r>
          </w:p>
        </w:tc>
        <w:tc>
          <w:tcPr>
            <w:tcW w:w="1234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N/A</w:t>
            </w:r>
          </w:p>
        </w:tc>
        <w:tc>
          <w:tcPr>
            <w:tcW w:w="1561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N/A</w:t>
            </w:r>
          </w:p>
        </w:tc>
        <w:tc>
          <w:tcPr>
            <w:tcW w:w="1544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N/A</w:t>
            </w:r>
          </w:p>
        </w:tc>
      </w:tr>
      <w:tr w:rsidR="00F5185C" w:rsidRPr="005C4266" w:rsidTr="00130AC5">
        <w:tc>
          <w:tcPr>
            <w:tcW w:w="1625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Riancho-Zarrabeitia, 2014 (12)</w:t>
            </w:r>
          </w:p>
        </w:tc>
        <w:tc>
          <w:tcPr>
            <w:tcW w:w="1504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5</w:t>
            </w:r>
          </w:p>
        </w:tc>
        <w:tc>
          <w:tcPr>
            <w:tcW w:w="1594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2/5 (40%)</w:t>
            </w:r>
          </w:p>
        </w:tc>
        <w:tc>
          <w:tcPr>
            <w:tcW w:w="1234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3/5 (60%)</w:t>
            </w:r>
          </w:p>
        </w:tc>
        <w:tc>
          <w:tcPr>
            <w:tcW w:w="1561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2/5 (40%), no mortality</w:t>
            </w:r>
          </w:p>
        </w:tc>
        <w:tc>
          <w:tcPr>
            <w:tcW w:w="1544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2-24</w:t>
            </w:r>
          </w:p>
        </w:tc>
      </w:tr>
      <w:tr w:rsidR="00F5185C" w:rsidRPr="005C4266" w:rsidTr="00130AC5">
        <w:tc>
          <w:tcPr>
            <w:tcW w:w="1625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Aubart, 2016 (13)</w:t>
            </w:r>
          </w:p>
        </w:tc>
        <w:tc>
          <w:tcPr>
            <w:tcW w:w="1504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18</w:t>
            </w:r>
          </w:p>
        </w:tc>
        <w:tc>
          <w:tcPr>
            <w:tcW w:w="1594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16/18 (89%)</w:t>
            </w:r>
          </w:p>
        </w:tc>
        <w:tc>
          <w:tcPr>
            <w:tcW w:w="1234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9/18 (50%)</w:t>
            </w:r>
          </w:p>
        </w:tc>
        <w:tc>
          <w:tcPr>
            <w:tcW w:w="1561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8/18 (44%), no mortality</w:t>
            </w:r>
          </w:p>
        </w:tc>
        <w:tc>
          <w:tcPr>
            <w:tcW w:w="1544" w:type="dxa"/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6-93</w:t>
            </w:r>
          </w:p>
        </w:tc>
      </w:tr>
      <w:tr w:rsidR="00F5185C" w:rsidRPr="005C4266" w:rsidTr="00130AC5">
        <w:tc>
          <w:tcPr>
            <w:tcW w:w="1625" w:type="dxa"/>
            <w:tcBorders>
              <w:bottom w:val="single" w:sz="4" w:space="0" w:color="auto"/>
            </w:tcBorders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Gelfand, 2017 (14)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66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51/66 (77%)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F5185C" w:rsidRPr="005C4266" w:rsidRDefault="00F5185C" w:rsidP="00130AC5">
            <w:pPr>
              <w:rPr>
                <w:rFonts w:ascii="Times New Roman" w:hAnsi="Times New Roman"/>
                <w:vertAlign w:val="superscript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9/16 (56%)</w:t>
            </w:r>
            <w:r w:rsidRPr="005C4266">
              <w:rPr>
                <w:rFonts w:ascii="Times New Roman" w:hAnsi="Times New Roman"/>
                <w:vertAlign w:val="superscript"/>
                <w:lang w:val="nl-NL"/>
              </w:rPr>
              <w:t>c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8/66 (12%), no mortality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F5185C" w:rsidRPr="005C4266" w:rsidRDefault="00F5185C" w:rsidP="00130AC5">
            <w:pPr>
              <w:rPr>
                <w:rFonts w:ascii="Times New Roman" w:hAnsi="Times New Roman"/>
                <w:lang w:val="nl-NL"/>
              </w:rPr>
            </w:pPr>
            <w:r w:rsidRPr="005C4266">
              <w:rPr>
                <w:rFonts w:ascii="Times New Roman" w:hAnsi="Times New Roman"/>
                <w:lang w:val="nl-NL"/>
              </w:rPr>
              <w:t>N/A</w:t>
            </w:r>
            <w:r w:rsidRPr="005C4266">
              <w:rPr>
                <w:rFonts w:ascii="Times New Roman" w:hAnsi="Times New Roman"/>
                <w:vertAlign w:val="superscript"/>
                <w:lang w:val="nl-NL"/>
              </w:rPr>
              <w:t>d</w:t>
            </w:r>
          </w:p>
        </w:tc>
      </w:tr>
    </w:tbl>
    <w:p w:rsidR="00F5185C" w:rsidRPr="005C4266" w:rsidRDefault="00F5185C" w:rsidP="00F5185C">
      <w:pPr>
        <w:spacing w:line="480" w:lineRule="auto"/>
        <w:rPr>
          <w:rFonts w:ascii="Times New Roman" w:hAnsi="Times New Roman"/>
          <w:sz w:val="24"/>
          <w:szCs w:val="24"/>
        </w:rPr>
      </w:pPr>
      <w:r w:rsidRPr="005C4266">
        <w:rPr>
          <w:rFonts w:ascii="Times New Roman" w:hAnsi="Times New Roman"/>
          <w:sz w:val="24"/>
          <w:szCs w:val="24"/>
        </w:rPr>
        <w:t xml:space="preserve">Only case series describing 4 or more patients were included in the table. N/A is not available. </w:t>
      </w:r>
    </w:p>
    <w:p w:rsidR="00F5185C" w:rsidRPr="005C4266" w:rsidRDefault="00F5185C" w:rsidP="00F5185C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5C4266">
        <w:rPr>
          <w:rFonts w:ascii="Times New Roman" w:hAnsi="Times New Roman"/>
          <w:sz w:val="24"/>
          <w:szCs w:val="24"/>
          <w:vertAlign w:val="superscript"/>
        </w:rPr>
        <w:t>a</w:t>
      </w:r>
      <w:proofErr w:type="gramEnd"/>
      <w:r w:rsidRPr="005C4266">
        <w:rPr>
          <w:rFonts w:ascii="Times New Roman" w:hAnsi="Times New Roman"/>
          <w:sz w:val="24"/>
          <w:szCs w:val="24"/>
        </w:rPr>
        <w:t xml:space="preserve"> Defined as improvement or clinical remission. </w:t>
      </w:r>
    </w:p>
    <w:p w:rsidR="00F5185C" w:rsidRPr="005C4266" w:rsidRDefault="00F5185C" w:rsidP="00F5185C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5C4266">
        <w:rPr>
          <w:rFonts w:ascii="Times New Roman" w:hAnsi="Times New Roman"/>
          <w:sz w:val="24"/>
          <w:szCs w:val="24"/>
          <w:vertAlign w:val="superscript"/>
        </w:rPr>
        <w:t>b</w:t>
      </w:r>
      <w:proofErr w:type="gramEnd"/>
      <w:r w:rsidRPr="005C4266">
        <w:rPr>
          <w:rFonts w:ascii="Times New Roman" w:hAnsi="Times New Roman"/>
          <w:sz w:val="24"/>
          <w:szCs w:val="24"/>
        </w:rPr>
        <w:t xml:space="preserve"> No time of follow-up was mentioned. 13-16 infusions were administered and clinical change was monitored. </w:t>
      </w:r>
    </w:p>
    <w:p w:rsidR="00F5185C" w:rsidRPr="005C4266" w:rsidRDefault="00F5185C" w:rsidP="00F5185C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5C4266">
        <w:rPr>
          <w:rFonts w:ascii="Times New Roman" w:hAnsi="Times New Roman"/>
          <w:sz w:val="24"/>
          <w:szCs w:val="24"/>
        </w:rPr>
        <w:t>c</w:t>
      </w:r>
      <w:proofErr w:type="gramEnd"/>
      <w:r w:rsidRPr="005C4266">
        <w:rPr>
          <w:rFonts w:ascii="Times New Roman" w:hAnsi="Times New Roman"/>
          <w:sz w:val="24"/>
          <w:szCs w:val="24"/>
        </w:rPr>
        <w:t xml:space="preserve"> When infliximab was discontinued. </w:t>
      </w:r>
    </w:p>
    <w:p w:rsidR="00F5185C" w:rsidRPr="006474EA" w:rsidRDefault="00F5185C" w:rsidP="00F5185C">
      <w:pPr>
        <w:pStyle w:val="EndNoteBibliography"/>
        <w:spacing w:after="0"/>
        <w:jc w:val="center"/>
        <w:rPr>
          <w:sz w:val="24"/>
          <w:szCs w:val="24"/>
        </w:rPr>
      </w:pPr>
      <w:r w:rsidRPr="005C4266">
        <w:rPr>
          <w:sz w:val="24"/>
          <w:szCs w:val="24"/>
          <w:vertAlign w:val="superscript"/>
        </w:rPr>
        <w:t>d</w:t>
      </w:r>
      <w:r w:rsidRPr="005C4266">
        <w:rPr>
          <w:sz w:val="24"/>
          <w:szCs w:val="24"/>
        </w:rPr>
        <w:t xml:space="preserve"> IFX exposure with a median of 1,5 years with an interquartile range of 0.8-2.6.</w:t>
      </w:r>
    </w:p>
    <w:p w:rsidR="00CB5B4D" w:rsidRDefault="00CB5B4D">
      <w:bookmarkStart w:id="0" w:name="_GoBack"/>
      <w:bookmarkEnd w:id="0"/>
    </w:p>
    <w:sectPr w:rsidR="00CB5B4D" w:rsidSect="00107CEE">
      <w:headerReference w:type="default" r:id="rId5"/>
      <w:footerReference w:type="default" r:id="rId6"/>
      <w:pgSz w:w="11906" w:h="16838" w:code="9"/>
      <w:pgMar w:top="1417" w:right="1417" w:bottom="141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00" w:rsidRDefault="00F5185C" w:rsidP="00D910A4">
    <w:pPr>
      <w:pStyle w:val="Footer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39281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00000" w:rsidRPr="009A57BC" w:rsidRDefault="00F5185C">
        <w:pPr>
          <w:pStyle w:val="Header"/>
          <w:jc w:val="right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t>Fritz,</w:t>
        </w:r>
        <w:r w:rsidRPr="0061648F">
          <w:rPr>
            <w:rFonts w:ascii="Times New Roman" w:hAnsi="Times New Roman"/>
            <w:sz w:val="20"/>
            <w:szCs w:val="20"/>
          </w:rPr>
          <w:t xml:space="preserve"> </w:t>
        </w:r>
        <w:r>
          <w:rPr>
            <w:rFonts w:ascii="Times New Roman" w:hAnsi="Times New Roman"/>
            <w:i/>
            <w:sz w:val="20"/>
            <w:szCs w:val="20"/>
          </w:rPr>
          <w:t xml:space="preserve">et al </w:t>
        </w:r>
        <w:r>
          <w:rPr>
            <w:rFonts w:ascii="Calibri" w:hAnsi="Calibri"/>
            <w:lang w:val="en-US"/>
          </w:rPr>
          <w:fldChar w:fldCharType="begin"/>
        </w:r>
        <w:r>
          <w:instrText>PAGE   \* MERGEFORMAT</w:instrText>
        </w:r>
        <w:r>
          <w:rPr>
            <w:rFonts w:ascii="Calibri" w:hAnsi="Calibri"/>
            <w:lang w:val="en-US"/>
          </w:rPr>
          <w:fldChar w:fldCharType="separate"/>
        </w:r>
        <w:r w:rsidRPr="00F5185C">
          <w:rPr>
            <w:rFonts w:ascii="Times New Roman" w:hAnsi="Times New Roman"/>
            <w:noProof/>
            <w:sz w:val="20"/>
            <w:szCs w:val="20"/>
            <w:lang w:val="nl-NL"/>
          </w:rPr>
          <w:t>1</w:t>
        </w:r>
        <w:r>
          <w:rPr>
            <w:rFonts w:ascii="Times New Roman" w:hAnsi="Times New Roman"/>
            <w:noProof/>
            <w:sz w:val="20"/>
            <w:szCs w:val="20"/>
            <w:lang w:val="nl-NL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5C"/>
    <w:rsid w:val="00CB5B4D"/>
    <w:rsid w:val="00F5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5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F5185C"/>
    <w:pPr>
      <w:spacing w:line="480" w:lineRule="auto"/>
    </w:pPr>
    <w:rPr>
      <w:rFonts w:ascii="Times New Roman" w:hAnsi="Times New Roman"/>
      <w:noProof/>
      <w:sz w:val="20"/>
    </w:rPr>
  </w:style>
  <w:style w:type="character" w:customStyle="1" w:styleId="EndNoteBibliographyChar">
    <w:name w:val="EndNote Bibliography Char"/>
    <w:link w:val="EndNoteBibliography"/>
    <w:rsid w:val="00F5185C"/>
    <w:rPr>
      <w:rFonts w:ascii="Times New Roman" w:eastAsia="Calibri" w:hAnsi="Times New Roman" w:cs="Times New Roman"/>
      <w:noProof/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5185C"/>
  </w:style>
  <w:style w:type="paragraph" w:styleId="Header">
    <w:name w:val="header"/>
    <w:basedOn w:val="Normal"/>
    <w:link w:val="HeaderChar"/>
    <w:uiPriority w:val="99"/>
    <w:unhideWhenUsed/>
    <w:rsid w:val="00F5185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IN"/>
    </w:rPr>
  </w:style>
  <w:style w:type="character" w:customStyle="1" w:styleId="HeaderChar1">
    <w:name w:val="Header Char1"/>
    <w:basedOn w:val="DefaultParagraphFont"/>
    <w:uiPriority w:val="99"/>
    <w:semiHidden/>
    <w:rsid w:val="00F5185C"/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5185C"/>
  </w:style>
  <w:style w:type="paragraph" w:styleId="Footer">
    <w:name w:val="footer"/>
    <w:basedOn w:val="Normal"/>
    <w:link w:val="FooterChar"/>
    <w:uiPriority w:val="99"/>
    <w:unhideWhenUsed/>
    <w:rsid w:val="00F5185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IN"/>
    </w:rPr>
  </w:style>
  <w:style w:type="character" w:customStyle="1" w:styleId="FooterChar1">
    <w:name w:val="Footer Char1"/>
    <w:basedOn w:val="DefaultParagraphFont"/>
    <w:uiPriority w:val="99"/>
    <w:semiHidden/>
    <w:rsid w:val="00F5185C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F5185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5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F5185C"/>
    <w:pPr>
      <w:spacing w:line="480" w:lineRule="auto"/>
    </w:pPr>
    <w:rPr>
      <w:rFonts w:ascii="Times New Roman" w:hAnsi="Times New Roman"/>
      <w:noProof/>
      <w:sz w:val="20"/>
    </w:rPr>
  </w:style>
  <w:style w:type="character" w:customStyle="1" w:styleId="EndNoteBibliographyChar">
    <w:name w:val="EndNote Bibliography Char"/>
    <w:link w:val="EndNoteBibliography"/>
    <w:rsid w:val="00F5185C"/>
    <w:rPr>
      <w:rFonts w:ascii="Times New Roman" w:eastAsia="Calibri" w:hAnsi="Times New Roman" w:cs="Times New Roman"/>
      <w:noProof/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5185C"/>
  </w:style>
  <w:style w:type="paragraph" w:styleId="Header">
    <w:name w:val="header"/>
    <w:basedOn w:val="Normal"/>
    <w:link w:val="HeaderChar"/>
    <w:uiPriority w:val="99"/>
    <w:unhideWhenUsed/>
    <w:rsid w:val="00F5185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IN"/>
    </w:rPr>
  </w:style>
  <w:style w:type="character" w:customStyle="1" w:styleId="HeaderChar1">
    <w:name w:val="Header Char1"/>
    <w:basedOn w:val="DefaultParagraphFont"/>
    <w:uiPriority w:val="99"/>
    <w:semiHidden/>
    <w:rsid w:val="00F5185C"/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5185C"/>
  </w:style>
  <w:style w:type="paragraph" w:styleId="Footer">
    <w:name w:val="footer"/>
    <w:basedOn w:val="Normal"/>
    <w:link w:val="FooterChar"/>
    <w:uiPriority w:val="99"/>
    <w:unhideWhenUsed/>
    <w:rsid w:val="00F5185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IN"/>
    </w:rPr>
  </w:style>
  <w:style w:type="character" w:customStyle="1" w:styleId="FooterChar1">
    <w:name w:val="Footer Char1"/>
    <w:basedOn w:val="DefaultParagraphFont"/>
    <w:uiPriority w:val="99"/>
    <w:semiHidden/>
    <w:rsid w:val="00F5185C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F5185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SATHISH KUMAR R</cp:lastModifiedBy>
  <cp:revision>1</cp:revision>
  <dcterms:created xsi:type="dcterms:W3CDTF">2020-07-02T08:57:00Z</dcterms:created>
  <dcterms:modified xsi:type="dcterms:W3CDTF">2020-07-02T08:58:00Z</dcterms:modified>
</cp:coreProperties>
</file>