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B48F" w14:textId="5ABECBB0" w:rsidR="0005715E" w:rsidRPr="0005715E" w:rsidRDefault="00912234" w:rsidP="002F1297">
      <w:pPr>
        <w:pStyle w:val="HTMLPreformatted"/>
        <w:spacing w:line="480" w:lineRule="auto"/>
        <w:jc w:val="both"/>
      </w:pPr>
      <w:r w:rsidRPr="0047409B">
        <w:rPr>
          <w:rFonts w:asciiTheme="majorHAnsi" w:hAnsiTheme="majorHAnsi" w:cstheme="minorBidi"/>
          <w:b/>
          <w:noProof/>
          <w:sz w:val="24"/>
          <w:szCs w:val="24"/>
          <w:highlight w:val="yellow"/>
          <w:lang w:val="en"/>
        </w:rPr>
        <w:t>Sample</w:t>
      </w:r>
      <w:r w:rsidR="0005715E" w:rsidRPr="0047409B">
        <w:rPr>
          <w:rFonts w:asciiTheme="majorHAnsi" w:hAnsiTheme="majorHAnsi" w:cstheme="minorBidi"/>
          <w:b/>
          <w:noProof/>
          <w:sz w:val="24"/>
          <w:szCs w:val="24"/>
          <w:highlight w:val="yellow"/>
          <w:lang w:val="en"/>
        </w:rPr>
        <w:t xml:space="preserve"> preparation</w:t>
      </w:r>
    </w:p>
    <w:p w14:paraId="1268ACEA" w14:textId="7E2C5E2B" w:rsidR="0005715E" w:rsidRPr="0005715E" w:rsidRDefault="0005715E" w:rsidP="0005715E">
      <w:pPr>
        <w:pStyle w:val="HTMLPreformatted"/>
        <w:spacing w:line="480" w:lineRule="auto"/>
        <w:jc w:val="both"/>
        <w:rPr>
          <w:rFonts w:asciiTheme="majorHAnsi" w:hAnsiTheme="majorHAnsi" w:cstheme="minorBidi"/>
          <w:noProof/>
          <w:sz w:val="24"/>
          <w:szCs w:val="24"/>
          <w:lang w:val="en"/>
        </w:rPr>
      </w:pPr>
      <w:r w:rsidRPr="006876CD">
        <w:rPr>
          <w:rFonts w:asciiTheme="majorHAnsi" w:hAnsiTheme="majorHAnsi" w:cstheme="minorBidi"/>
          <w:noProof/>
          <w:sz w:val="24"/>
          <w:szCs w:val="24"/>
          <w:highlight w:val="yellow"/>
          <w:lang w:val="en"/>
        </w:rPr>
        <w:t xml:space="preserve">Peripheral blood mononuclear cells (PBMCs) were isolated from whole blood by density gradient centrifugation using standard procedures (Ficoll-Paque Plus, GE Healthcare). </w:t>
      </w:r>
    </w:p>
    <w:p w14:paraId="54BE541D" w14:textId="77777777" w:rsidR="0005715E" w:rsidRDefault="0005715E" w:rsidP="002D6BE4">
      <w:pPr>
        <w:pStyle w:val="HTMLPreformatted"/>
        <w:spacing w:line="480" w:lineRule="auto"/>
        <w:jc w:val="both"/>
        <w:rPr>
          <w:rFonts w:asciiTheme="majorHAnsi" w:hAnsiTheme="majorHAnsi"/>
          <w:b/>
          <w:sz w:val="24"/>
          <w:szCs w:val="24"/>
          <w:lang w:val="en"/>
        </w:rPr>
      </w:pPr>
    </w:p>
    <w:p w14:paraId="24ADC4D6" w14:textId="77777777" w:rsidR="002D6BE4" w:rsidRPr="0005715E" w:rsidRDefault="002D6BE4" w:rsidP="002D6BE4">
      <w:pPr>
        <w:pStyle w:val="HTMLPreformatted"/>
        <w:spacing w:line="480" w:lineRule="auto"/>
        <w:jc w:val="both"/>
        <w:rPr>
          <w:rFonts w:asciiTheme="majorHAnsi" w:hAnsiTheme="majorHAnsi"/>
          <w:b/>
          <w:sz w:val="24"/>
          <w:szCs w:val="24"/>
          <w:lang w:val="en"/>
        </w:rPr>
      </w:pPr>
      <w:r w:rsidRPr="0005715E">
        <w:rPr>
          <w:rFonts w:asciiTheme="majorHAnsi" w:hAnsiTheme="majorHAnsi"/>
          <w:b/>
          <w:sz w:val="24"/>
          <w:szCs w:val="24"/>
          <w:lang w:val="en"/>
        </w:rPr>
        <w:t xml:space="preserve">Haplotype characterization </w:t>
      </w:r>
    </w:p>
    <w:p w14:paraId="3D6F1744" w14:textId="77777777" w:rsidR="002D6BE4" w:rsidRPr="0005715E" w:rsidRDefault="002D6BE4" w:rsidP="002D6BE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 xml:space="preserve">PBMCs from patients and healthy donors were </w:t>
      </w:r>
      <w:r w:rsidR="00EE6772" w:rsidRPr="0005715E">
        <w:rPr>
          <w:rFonts w:asciiTheme="majorHAnsi" w:hAnsiTheme="majorHAnsi"/>
          <w:lang w:val="en"/>
        </w:rPr>
        <w:t xml:space="preserve">stained </w:t>
      </w:r>
      <w:r w:rsidRPr="0005715E">
        <w:rPr>
          <w:rFonts w:asciiTheme="majorHAnsi" w:hAnsiTheme="majorHAnsi"/>
          <w:lang w:val="en"/>
        </w:rPr>
        <w:t>to determine the</w:t>
      </w:r>
      <w:r w:rsidR="005E2D45" w:rsidRPr="0005715E">
        <w:rPr>
          <w:rFonts w:asciiTheme="majorHAnsi" w:hAnsiTheme="majorHAnsi"/>
          <w:lang w:val="en"/>
        </w:rPr>
        <w:t xml:space="preserve">ir </w:t>
      </w:r>
      <w:r w:rsidRPr="0005715E">
        <w:rPr>
          <w:rFonts w:asciiTheme="majorHAnsi" w:hAnsiTheme="majorHAnsi"/>
          <w:lang w:val="en"/>
        </w:rPr>
        <w:t xml:space="preserve"> haplotype</w:t>
      </w:r>
      <w:r w:rsidR="00143BCD" w:rsidRPr="0005715E">
        <w:rPr>
          <w:rFonts w:asciiTheme="majorHAnsi" w:hAnsiTheme="majorHAnsi"/>
          <w:lang w:val="en"/>
        </w:rPr>
        <w:t xml:space="preserve">. </w:t>
      </w:r>
      <w:r w:rsidR="00A44BCD" w:rsidRPr="0005715E">
        <w:rPr>
          <w:rFonts w:asciiTheme="majorHAnsi" w:hAnsiTheme="majorHAnsi"/>
          <w:lang w:val="en"/>
        </w:rPr>
        <w:t xml:space="preserve">The characterization was performed with </w:t>
      </w:r>
      <w:r w:rsidR="00143BCD" w:rsidRPr="0005715E">
        <w:rPr>
          <w:rFonts w:asciiTheme="majorHAnsi" w:hAnsiTheme="majorHAnsi"/>
          <w:lang w:val="en"/>
        </w:rPr>
        <w:t>0.5 x 10</w:t>
      </w:r>
      <w:r w:rsidR="00143BCD" w:rsidRPr="0005715E">
        <w:rPr>
          <w:rFonts w:asciiTheme="majorHAnsi" w:hAnsiTheme="majorHAnsi"/>
          <w:vertAlign w:val="superscript"/>
          <w:lang w:val="en"/>
        </w:rPr>
        <w:t>6</w:t>
      </w:r>
      <w:r w:rsidR="00143BCD" w:rsidRPr="0005715E">
        <w:rPr>
          <w:rFonts w:asciiTheme="majorHAnsi" w:hAnsiTheme="majorHAnsi"/>
          <w:lang w:val="en"/>
        </w:rPr>
        <w:t xml:space="preserve"> cells incubated </w:t>
      </w:r>
      <w:r w:rsidR="005E2D45" w:rsidRPr="0005715E">
        <w:rPr>
          <w:rFonts w:asciiTheme="majorHAnsi" w:hAnsiTheme="majorHAnsi"/>
          <w:lang w:val="en"/>
        </w:rPr>
        <w:t xml:space="preserve">with the antibodies </w:t>
      </w:r>
      <w:r w:rsidR="00143BCD" w:rsidRPr="0005715E">
        <w:rPr>
          <w:rFonts w:asciiTheme="majorHAnsi" w:hAnsiTheme="majorHAnsi"/>
          <w:lang w:val="en"/>
        </w:rPr>
        <w:t>for 15 minutes at 4 ° C.</w:t>
      </w:r>
    </w:p>
    <w:p w14:paraId="7DEEC3AC" w14:textId="60BD0C95" w:rsidR="00453AC2" w:rsidRDefault="002D6BE4" w:rsidP="002D6BE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 xml:space="preserve"> The following antibodies </w:t>
      </w:r>
      <w:r w:rsidR="00143BCD" w:rsidRPr="0005715E">
        <w:rPr>
          <w:rFonts w:asciiTheme="majorHAnsi" w:hAnsiTheme="majorHAnsi"/>
          <w:lang w:val="en"/>
        </w:rPr>
        <w:t>were used</w:t>
      </w:r>
      <w:r w:rsidR="00EE6772" w:rsidRPr="0005715E">
        <w:rPr>
          <w:rFonts w:asciiTheme="majorHAnsi" w:hAnsiTheme="majorHAnsi"/>
          <w:lang w:val="en"/>
        </w:rPr>
        <w:t xml:space="preserve"> at </w:t>
      </w:r>
      <w:r w:rsidR="001422A2" w:rsidRPr="0005715E">
        <w:rPr>
          <w:rFonts w:asciiTheme="majorHAnsi" w:hAnsiTheme="majorHAnsi"/>
          <w:lang w:val="en"/>
        </w:rPr>
        <w:t xml:space="preserve">the </w:t>
      </w:r>
      <w:r w:rsidR="00EE6772" w:rsidRPr="0005715E">
        <w:rPr>
          <w:rFonts w:asciiTheme="majorHAnsi" w:hAnsiTheme="majorHAnsi"/>
          <w:lang w:val="en"/>
        </w:rPr>
        <w:t>dilutions listed</w:t>
      </w:r>
      <w:r w:rsidR="001422A2" w:rsidRPr="0005715E">
        <w:rPr>
          <w:rFonts w:asciiTheme="majorHAnsi" w:hAnsiTheme="majorHAnsi"/>
          <w:lang w:val="en"/>
        </w:rPr>
        <w:t xml:space="preserve"> in the table below</w:t>
      </w:r>
      <w:r w:rsidR="00143BCD" w:rsidRPr="0005715E">
        <w:rPr>
          <w:rFonts w:asciiTheme="majorHAnsi" w:hAnsiTheme="majorHAnsi"/>
          <w:lang w:val="en"/>
        </w:rPr>
        <w:t>:</w:t>
      </w:r>
    </w:p>
    <w:p w14:paraId="514971A9" w14:textId="77777777" w:rsidR="00982D89" w:rsidDel="00453AC2" w:rsidRDefault="00982D89" w:rsidP="002D6BE4">
      <w:pPr>
        <w:spacing w:line="480" w:lineRule="auto"/>
        <w:jc w:val="both"/>
        <w:rPr>
          <w:rFonts w:asciiTheme="majorHAnsi" w:hAnsiTheme="majorHAnsi"/>
          <w:lang w:val="en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809"/>
        <w:gridCol w:w="1276"/>
        <w:gridCol w:w="2126"/>
        <w:gridCol w:w="1134"/>
        <w:gridCol w:w="2127"/>
      </w:tblGrid>
      <w:tr w:rsidR="00453AC2" w:rsidRPr="0005715E" w14:paraId="1E1F2AF5" w14:textId="77777777" w:rsidTr="00B90FEC">
        <w:trPr>
          <w:trHeight w:val="572"/>
        </w:trPr>
        <w:tc>
          <w:tcPr>
            <w:tcW w:w="1809" w:type="dxa"/>
            <w:vAlign w:val="center"/>
          </w:tcPr>
          <w:p w14:paraId="4BD5A52E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Antibody</w:t>
            </w:r>
          </w:p>
        </w:tc>
        <w:tc>
          <w:tcPr>
            <w:tcW w:w="1276" w:type="dxa"/>
          </w:tcPr>
          <w:p w14:paraId="5E2EADC0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Clone</w:t>
            </w:r>
          </w:p>
        </w:tc>
        <w:tc>
          <w:tcPr>
            <w:tcW w:w="2126" w:type="dxa"/>
            <w:vAlign w:val="center"/>
          </w:tcPr>
          <w:p w14:paraId="3FCC8900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Fluorochrome</w:t>
            </w:r>
          </w:p>
        </w:tc>
        <w:tc>
          <w:tcPr>
            <w:tcW w:w="1134" w:type="dxa"/>
            <w:vAlign w:val="center"/>
          </w:tcPr>
          <w:p w14:paraId="24B08E35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Titer</w:t>
            </w:r>
          </w:p>
        </w:tc>
        <w:tc>
          <w:tcPr>
            <w:tcW w:w="2127" w:type="dxa"/>
            <w:vAlign w:val="center"/>
          </w:tcPr>
          <w:p w14:paraId="244C4C7D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Company</w:t>
            </w:r>
          </w:p>
        </w:tc>
      </w:tr>
      <w:tr w:rsidR="00453AC2" w:rsidRPr="0005715E" w14:paraId="2853CA86" w14:textId="77777777" w:rsidTr="00B90FEC">
        <w:tc>
          <w:tcPr>
            <w:tcW w:w="1809" w:type="dxa"/>
            <w:vAlign w:val="center"/>
          </w:tcPr>
          <w:p w14:paraId="2CBFC0C9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anti-HLA-A02</w:t>
            </w:r>
          </w:p>
        </w:tc>
        <w:tc>
          <w:tcPr>
            <w:tcW w:w="1276" w:type="dxa"/>
          </w:tcPr>
          <w:p w14:paraId="5353B94F" w14:textId="77777777" w:rsidR="00453AC2" w:rsidRPr="00D05E5D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highlight w:val="yellow"/>
                <w:lang w:val="en"/>
              </w:rPr>
            </w:pPr>
            <w:r w:rsidRPr="00D05E5D">
              <w:rPr>
                <w:rFonts w:asciiTheme="majorHAnsi" w:hAnsiTheme="majorHAnsi"/>
                <w:highlight w:val="yellow"/>
                <w:lang w:val="en"/>
              </w:rPr>
              <w:t>BB7.2</w:t>
            </w:r>
          </w:p>
        </w:tc>
        <w:tc>
          <w:tcPr>
            <w:tcW w:w="2126" w:type="dxa"/>
            <w:vAlign w:val="center"/>
          </w:tcPr>
          <w:p w14:paraId="4DF8E0D1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</w:t>
            </w:r>
          </w:p>
        </w:tc>
        <w:tc>
          <w:tcPr>
            <w:tcW w:w="1134" w:type="dxa"/>
            <w:vAlign w:val="center"/>
          </w:tcPr>
          <w:p w14:paraId="5FD598F3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127" w:type="dxa"/>
            <w:vAlign w:val="center"/>
          </w:tcPr>
          <w:p w14:paraId="2059991E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BD Pharmingen</w:t>
            </w:r>
          </w:p>
        </w:tc>
      </w:tr>
      <w:tr w:rsidR="00453AC2" w:rsidRPr="0005715E" w14:paraId="7449E70D" w14:textId="77777777" w:rsidTr="00B90FEC">
        <w:tc>
          <w:tcPr>
            <w:tcW w:w="1809" w:type="dxa"/>
            <w:vAlign w:val="center"/>
          </w:tcPr>
          <w:p w14:paraId="318D3A1E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anti-HLA-B7</w:t>
            </w:r>
          </w:p>
        </w:tc>
        <w:tc>
          <w:tcPr>
            <w:tcW w:w="1276" w:type="dxa"/>
          </w:tcPr>
          <w:p w14:paraId="11FB56A9" w14:textId="77777777" w:rsidR="00453AC2" w:rsidRPr="00D05E5D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highlight w:val="yellow"/>
                <w:lang w:val="en"/>
              </w:rPr>
            </w:pPr>
            <w:r w:rsidRPr="00D05E5D">
              <w:rPr>
                <w:rFonts w:asciiTheme="majorHAnsi" w:hAnsiTheme="majorHAnsi"/>
                <w:highlight w:val="yellow"/>
                <w:lang w:val="en"/>
              </w:rPr>
              <w:t>BB7.1</w:t>
            </w:r>
          </w:p>
        </w:tc>
        <w:tc>
          <w:tcPr>
            <w:tcW w:w="2126" w:type="dxa"/>
            <w:vAlign w:val="center"/>
          </w:tcPr>
          <w:p w14:paraId="723848FD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</w:t>
            </w:r>
          </w:p>
        </w:tc>
        <w:tc>
          <w:tcPr>
            <w:tcW w:w="1134" w:type="dxa"/>
            <w:vAlign w:val="center"/>
          </w:tcPr>
          <w:p w14:paraId="74550991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127" w:type="dxa"/>
            <w:vAlign w:val="center"/>
          </w:tcPr>
          <w:p w14:paraId="7D5D0306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Abcam</w:t>
            </w:r>
          </w:p>
        </w:tc>
      </w:tr>
      <w:tr w:rsidR="00453AC2" w:rsidRPr="0005715E" w14:paraId="69B8B2EE" w14:textId="77777777" w:rsidTr="00B90FEC">
        <w:tc>
          <w:tcPr>
            <w:tcW w:w="1809" w:type="dxa"/>
            <w:vAlign w:val="center"/>
          </w:tcPr>
          <w:p w14:paraId="5231D0E3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anti-HLA-B08</w:t>
            </w:r>
          </w:p>
        </w:tc>
        <w:tc>
          <w:tcPr>
            <w:tcW w:w="1276" w:type="dxa"/>
          </w:tcPr>
          <w:p w14:paraId="5C277559" w14:textId="77777777" w:rsidR="00453AC2" w:rsidRPr="00D05E5D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highlight w:val="yellow"/>
                <w:lang w:val="en"/>
              </w:rPr>
            </w:pPr>
            <w:r w:rsidRPr="00D05E5D">
              <w:rPr>
                <w:rFonts w:asciiTheme="majorHAnsi" w:hAnsiTheme="majorHAnsi"/>
                <w:highlight w:val="yellow"/>
                <w:lang w:val="en"/>
              </w:rPr>
              <w:t>145</w:t>
            </w:r>
          </w:p>
        </w:tc>
        <w:tc>
          <w:tcPr>
            <w:tcW w:w="2126" w:type="dxa"/>
            <w:vAlign w:val="center"/>
          </w:tcPr>
          <w:p w14:paraId="70CDABD9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PE-Cy7</w:t>
            </w:r>
          </w:p>
        </w:tc>
        <w:tc>
          <w:tcPr>
            <w:tcW w:w="1134" w:type="dxa"/>
            <w:vAlign w:val="center"/>
          </w:tcPr>
          <w:p w14:paraId="1D469FD7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127" w:type="dxa"/>
            <w:vAlign w:val="center"/>
          </w:tcPr>
          <w:p w14:paraId="396EC642" w14:textId="77777777" w:rsidR="00453AC2" w:rsidRPr="0005715E" w:rsidRDefault="00453AC2" w:rsidP="00453AC2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Miltenyi Biotec</w:t>
            </w:r>
          </w:p>
        </w:tc>
      </w:tr>
    </w:tbl>
    <w:p w14:paraId="4808B226" w14:textId="77777777" w:rsidR="00453AC2" w:rsidRPr="0005715E" w:rsidRDefault="00453AC2" w:rsidP="002D6BE4">
      <w:pPr>
        <w:spacing w:line="480" w:lineRule="auto"/>
        <w:jc w:val="both"/>
        <w:rPr>
          <w:rFonts w:asciiTheme="majorHAnsi" w:hAnsiTheme="majorHAnsi"/>
          <w:lang w:val="en"/>
        </w:rPr>
      </w:pPr>
    </w:p>
    <w:p w14:paraId="49A8BC14" w14:textId="77777777" w:rsidR="002D6BE4" w:rsidRPr="0005715E" w:rsidRDefault="00EE6772" w:rsidP="002D6BE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>PBMC from</w:t>
      </w:r>
      <w:r w:rsidR="002D6BE4" w:rsidRPr="0005715E">
        <w:rPr>
          <w:rFonts w:asciiTheme="majorHAnsi" w:hAnsiTheme="majorHAnsi"/>
          <w:lang w:val="en"/>
        </w:rPr>
        <w:t xml:space="preserve"> individuals positive for at least one </w:t>
      </w:r>
      <w:r w:rsidR="005E2D45" w:rsidRPr="0005715E">
        <w:rPr>
          <w:rFonts w:asciiTheme="majorHAnsi" w:hAnsiTheme="majorHAnsi"/>
          <w:lang w:val="en"/>
        </w:rPr>
        <w:t>MHC allele</w:t>
      </w:r>
      <w:r w:rsidR="002D6BE4" w:rsidRPr="0005715E">
        <w:rPr>
          <w:rFonts w:asciiTheme="majorHAnsi" w:hAnsiTheme="majorHAnsi"/>
          <w:lang w:val="en"/>
        </w:rPr>
        <w:t xml:space="preserve"> were subsequently labeled with the </w:t>
      </w:r>
      <w:r w:rsidRPr="0005715E">
        <w:rPr>
          <w:rFonts w:asciiTheme="majorHAnsi" w:hAnsiTheme="majorHAnsi"/>
          <w:lang w:val="en"/>
        </w:rPr>
        <w:t xml:space="preserve">corresponding peptide-loaded MHC-I </w:t>
      </w:r>
      <w:r w:rsidR="002D6BE4" w:rsidRPr="0005715E">
        <w:rPr>
          <w:rFonts w:asciiTheme="majorHAnsi" w:hAnsiTheme="majorHAnsi"/>
          <w:lang w:val="en"/>
        </w:rPr>
        <w:t>pentamers</w:t>
      </w:r>
      <w:r w:rsidRPr="0005715E">
        <w:rPr>
          <w:rFonts w:asciiTheme="majorHAnsi" w:hAnsiTheme="majorHAnsi"/>
          <w:lang w:val="en"/>
        </w:rPr>
        <w:t xml:space="preserve">. </w:t>
      </w:r>
      <w:r w:rsidR="001D1DC1" w:rsidRPr="0005715E">
        <w:rPr>
          <w:rFonts w:asciiTheme="majorHAnsi" w:hAnsiTheme="majorHAnsi"/>
          <w:lang w:val="en"/>
        </w:rPr>
        <w:t>Some individuals tested positive for more than one</w:t>
      </w:r>
      <w:r w:rsidR="005E2D45" w:rsidRPr="0005715E">
        <w:rPr>
          <w:rFonts w:asciiTheme="majorHAnsi" w:hAnsiTheme="majorHAnsi"/>
          <w:lang w:val="en"/>
        </w:rPr>
        <w:t xml:space="preserve"> MHC allele</w:t>
      </w:r>
      <w:r w:rsidR="001D1DC1" w:rsidRPr="0005715E">
        <w:rPr>
          <w:rFonts w:asciiTheme="majorHAnsi" w:hAnsiTheme="majorHAnsi"/>
          <w:lang w:val="en"/>
        </w:rPr>
        <w:t>.</w:t>
      </w:r>
    </w:p>
    <w:p w14:paraId="69443091" w14:textId="77777777" w:rsidR="00D56343" w:rsidRPr="0005715E" w:rsidRDefault="00D56343" w:rsidP="002D6BE4">
      <w:pPr>
        <w:spacing w:line="480" w:lineRule="auto"/>
        <w:jc w:val="both"/>
        <w:rPr>
          <w:rFonts w:asciiTheme="majorHAnsi" w:hAnsiTheme="majorHAnsi"/>
          <w:lang w:val="en"/>
        </w:rPr>
      </w:pPr>
    </w:p>
    <w:p w14:paraId="78081AB1" w14:textId="77777777" w:rsidR="002D6BE4" w:rsidRPr="0005715E" w:rsidRDefault="002D6BE4" w:rsidP="002D6BE4">
      <w:pPr>
        <w:pStyle w:val="HTMLPreformatted"/>
        <w:spacing w:line="480" w:lineRule="auto"/>
        <w:jc w:val="both"/>
        <w:rPr>
          <w:rFonts w:asciiTheme="majorHAnsi" w:hAnsiTheme="majorHAnsi"/>
          <w:b/>
          <w:sz w:val="24"/>
          <w:szCs w:val="24"/>
          <w:lang w:val="en"/>
        </w:rPr>
      </w:pPr>
      <w:r w:rsidRPr="0005715E">
        <w:rPr>
          <w:rFonts w:asciiTheme="majorHAnsi" w:hAnsiTheme="majorHAnsi"/>
          <w:b/>
          <w:sz w:val="24"/>
          <w:szCs w:val="24"/>
          <w:lang w:val="en"/>
        </w:rPr>
        <w:t>Pentamer staining</w:t>
      </w:r>
    </w:p>
    <w:p w14:paraId="69F4E758" w14:textId="77777777" w:rsidR="00D104A4" w:rsidRPr="0005715E" w:rsidRDefault="00D104A4" w:rsidP="00D104A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 xml:space="preserve">Phycoerythrin-conjugated Pro5 MHC Class I </w:t>
      </w:r>
      <w:r w:rsidR="00EE6772" w:rsidRPr="0005715E">
        <w:rPr>
          <w:rFonts w:asciiTheme="majorHAnsi" w:hAnsiTheme="majorHAnsi"/>
          <w:lang w:val="en"/>
        </w:rPr>
        <w:t xml:space="preserve">pentamers </w:t>
      </w:r>
      <w:r w:rsidRPr="0005715E">
        <w:rPr>
          <w:rFonts w:asciiTheme="majorHAnsi" w:hAnsiTheme="majorHAnsi"/>
          <w:lang w:val="en"/>
        </w:rPr>
        <w:t>loaded with the immunodominant peptides listed in table 2</w:t>
      </w:r>
      <w:r w:rsidRPr="0005715E">
        <w:rPr>
          <w:rFonts w:asciiTheme="majorHAnsi" w:hAnsiTheme="majorHAnsi"/>
          <w:color w:val="FF0000"/>
          <w:lang w:val="en"/>
        </w:rPr>
        <w:t xml:space="preserve"> </w:t>
      </w:r>
      <w:r w:rsidRPr="0005715E">
        <w:rPr>
          <w:rFonts w:asciiTheme="majorHAnsi" w:hAnsiTheme="majorHAnsi"/>
          <w:lang w:val="en"/>
        </w:rPr>
        <w:t xml:space="preserve">were used at 0.05 mg/ml, as suggested by </w:t>
      </w:r>
      <w:r w:rsidR="005E2D45" w:rsidRPr="0005715E">
        <w:rPr>
          <w:rFonts w:asciiTheme="majorHAnsi" w:hAnsiTheme="majorHAnsi"/>
          <w:lang w:val="en"/>
        </w:rPr>
        <w:t xml:space="preserve">the </w:t>
      </w:r>
      <w:r w:rsidRPr="0005715E">
        <w:rPr>
          <w:rFonts w:asciiTheme="majorHAnsi" w:hAnsiTheme="majorHAnsi"/>
          <w:lang w:val="en"/>
        </w:rPr>
        <w:t>manufacturer (ProImmune).</w:t>
      </w:r>
      <w:r w:rsidR="00E51214" w:rsidRPr="0005715E">
        <w:rPr>
          <w:rFonts w:asciiTheme="majorHAnsi" w:hAnsiTheme="majorHAnsi"/>
          <w:lang w:val="en"/>
        </w:rPr>
        <w:t xml:space="preserve"> Frequencies of pentamer+ cells below 0.02% of </w:t>
      </w:r>
      <w:r w:rsidR="00E51214" w:rsidRPr="0005715E">
        <w:rPr>
          <w:rFonts w:asciiTheme="majorHAnsi" w:hAnsiTheme="majorHAnsi"/>
          <w:lang w:val="en"/>
        </w:rPr>
        <w:lastRenderedPageBreak/>
        <w:t>CD3+ T cells were considered as background staining as indicated by the manufacturer.</w:t>
      </w:r>
    </w:p>
    <w:p w14:paraId="735BFC4C" w14:textId="77777777" w:rsidR="00EE6772" w:rsidRPr="0005715E" w:rsidRDefault="00EE6772" w:rsidP="002D6BE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 xml:space="preserve">A two-step staining </w:t>
      </w:r>
      <w:r w:rsidR="00EA5EC1" w:rsidRPr="0005715E">
        <w:rPr>
          <w:rFonts w:asciiTheme="majorHAnsi" w:hAnsiTheme="majorHAnsi"/>
          <w:lang w:val="en"/>
        </w:rPr>
        <w:t xml:space="preserve">at 4°C in the dark </w:t>
      </w:r>
      <w:r w:rsidRPr="0005715E">
        <w:rPr>
          <w:rFonts w:asciiTheme="majorHAnsi" w:hAnsiTheme="majorHAnsi"/>
          <w:lang w:val="en"/>
        </w:rPr>
        <w:t>was performed</w:t>
      </w:r>
      <w:r w:rsidR="00EA5EC1" w:rsidRPr="0005715E">
        <w:rPr>
          <w:rFonts w:asciiTheme="majorHAnsi" w:hAnsiTheme="majorHAnsi"/>
          <w:lang w:val="en"/>
        </w:rPr>
        <w:t>.</w:t>
      </w:r>
      <w:r w:rsidRPr="0005715E">
        <w:rPr>
          <w:rFonts w:asciiTheme="majorHAnsi" w:hAnsiTheme="majorHAnsi"/>
          <w:lang w:val="en"/>
        </w:rPr>
        <w:t xml:space="preserve"> 1 x 10</w:t>
      </w:r>
      <w:r w:rsidRPr="0005715E">
        <w:rPr>
          <w:rFonts w:asciiTheme="majorHAnsi" w:hAnsiTheme="majorHAnsi"/>
          <w:vertAlign w:val="superscript"/>
          <w:lang w:val="en"/>
        </w:rPr>
        <w:t>6</w:t>
      </w:r>
      <w:r w:rsidRPr="0005715E">
        <w:rPr>
          <w:rFonts w:asciiTheme="majorHAnsi" w:hAnsiTheme="majorHAnsi"/>
          <w:lang w:val="en"/>
        </w:rPr>
        <w:t xml:space="preserve"> PBMC were first </w:t>
      </w:r>
      <w:r w:rsidR="00EA5EC1" w:rsidRPr="0005715E">
        <w:rPr>
          <w:rFonts w:asciiTheme="majorHAnsi" w:hAnsiTheme="majorHAnsi"/>
          <w:lang w:val="en"/>
        </w:rPr>
        <w:t>incubated</w:t>
      </w:r>
      <w:r w:rsidRPr="0005715E">
        <w:rPr>
          <w:rFonts w:asciiTheme="majorHAnsi" w:hAnsiTheme="majorHAnsi"/>
          <w:lang w:val="en"/>
        </w:rPr>
        <w:t xml:space="preserve"> with</w:t>
      </w:r>
      <w:r w:rsidR="00EA5EC1" w:rsidRPr="0005715E">
        <w:rPr>
          <w:rFonts w:asciiTheme="majorHAnsi" w:hAnsiTheme="majorHAnsi"/>
          <w:lang w:val="en"/>
        </w:rPr>
        <w:t xml:space="preserve"> PE-conjugated pentamers, washed once in PBS and then stained for surface markers. After two rounds of washing with PBS the cell suspensions were directly acquired on a Cytoflex flow cytometer (Beckman Coulter). All the antibodies were used at optimal </w:t>
      </w:r>
      <w:r w:rsidR="001422A2" w:rsidRPr="0005715E">
        <w:rPr>
          <w:rFonts w:asciiTheme="majorHAnsi" w:hAnsiTheme="majorHAnsi"/>
          <w:lang w:val="en"/>
        </w:rPr>
        <w:t>dilutions</w:t>
      </w:r>
      <w:r w:rsidR="00EA5EC1" w:rsidRPr="0005715E">
        <w:rPr>
          <w:rFonts w:asciiTheme="majorHAnsi" w:hAnsiTheme="majorHAnsi"/>
          <w:lang w:val="en"/>
        </w:rPr>
        <w:t xml:space="preserve"> (listed in the table below) as determined by preliminary titration experiments (not shown)</w:t>
      </w:r>
    </w:p>
    <w:p w14:paraId="3F6CF03F" w14:textId="009C6B65" w:rsidR="00982D89" w:rsidRPr="0005715E" w:rsidRDefault="003D4CC5" w:rsidP="00D104A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>The table below contains information about antibodies used to characterize pentamer+ CD8 T cells</w:t>
      </w:r>
    </w:p>
    <w:p w14:paraId="251DB0BF" w14:textId="77777777" w:rsidR="00453AC2" w:rsidRPr="0005715E" w:rsidRDefault="00453AC2" w:rsidP="00D104A4">
      <w:pPr>
        <w:spacing w:line="480" w:lineRule="auto"/>
        <w:jc w:val="both"/>
        <w:rPr>
          <w:rFonts w:asciiTheme="majorHAnsi" w:hAnsiTheme="majorHAnsi"/>
          <w:lang w:val="e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510"/>
        <w:gridCol w:w="1701"/>
        <w:gridCol w:w="1276"/>
        <w:gridCol w:w="2410"/>
      </w:tblGrid>
      <w:tr w:rsidR="00473A9C" w:rsidRPr="0005715E" w14:paraId="22733596" w14:textId="77777777" w:rsidTr="001717D8">
        <w:trPr>
          <w:trHeight w:val="572"/>
        </w:trPr>
        <w:tc>
          <w:tcPr>
            <w:tcW w:w="3510" w:type="dxa"/>
            <w:vAlign w:val="center"/>
          </w:tcPr>
          <w:p w14:paraId="32ACCFAA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Antibody</w:t>
            </w:r>
          </w:p>
        </w:tc>
        <w:tc>
          <w:tcPr>
            <w:tcW w:w="1701" w:type="dxa"/>
            <w:vAlign w:val="center"/>
          </w:tcPr>
          <w:p w14:paraId="2AA76960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Fluorochrome</w:t>
            </w:r>
          </w:p>
        </w:tc>
        <w:tc>
          <w:tcPr>
            <w:tcW w:w="1276" w:type="dxa"/>
            <w:vAlign w:val="center"/>
          </w:tcPr>
          <w:p w14:paraId="73825FB0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Titer</w:t>
            </w:r>
          </w:p>
        </w:tc>
        <w:tc>
          <w:tcPr>
            <w:tcW w:w="2410" w:type="dxa"/>
            <w:vAlign w:val="center"/>
          </w:tcPr>
          <w:p w14:paraId="6B9DDEA4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Company</w:t>
            </w:r>
          </w:p>
        </w:tc>
      </w:tr>
      <w:tr w:rsidR="00473A9C" w:rsidRPr="0005715E" w14:paraId="1EA987C6" w14:textId="77777777" w:rsidTr="001717D8">
        <w:tc>
          <w:tcPr>
            <w:tcW w:w="3510" w:type="dxa"/>
            <w:vAlign w:val="center"/>
          </w:tcPr>
          <w:p w14:paraId="38DB86A5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anti-CD3</w:t>
            </w:r>
          </w:p>
        </w:tc>
        <w:tc>
          <w:tcPr>
            <w:tcW w:w="1701" w:type="dxa"/>
            <w:vAlign w:val="center"/>
          </w:tcPr>
          <w:p w14:paraId="58C948E6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APC-eFluor780</w:t>
            </w:r>
          </w:p>
        </w:tc>
        <w:tc>
          <w:tcPr>
            <w:tcW w:w="1276" w:type="dxa"/>
            <w:vAlign w:val="center"/>
          </w:tcPr>
          <w:p w14:paraId="3CFE7B0B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1:100</w:t>
            </w:r>
          </w:p>
        </w:tc>
        <w:tc>
          <w:tcPr>
            <w:tcW w:w="2410" w:type="dxa"/>
            <w:vAlign w:val="center"/>
          </w:tcPr>
          <w:p w14:paraId="09C32686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eBioscience</w:t>
            </w:r>
          </w:p>
        </w:tc>
      </w:tr>
      <w:tr w:rsidR="00473A9C" w:rsidRPr="0005715E" w14:paraId="351F2A00" w14:textId="77777777" w:rsidTr="001717D8">
        <w:tc>
          <w:tcPr>
            <w:tcW w:w="3510" w:type="dxa"/>
            <w:vAlign w:val="center"/>
          </w:tcPr>
          <w:p w14:paraId="68CA6708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anti-CD8</w:t>
            </w:r>
          </w:p>
        </w:tc>
        <w:tc>
          <w:tcPr>
            <w:tcW w:w="1701" w:type="dxa"/>
            <w:vAlign w:val="center"/>
          </w:tcPr>
          <w:p w14:paraId="37DF8F46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PE-Cy7</w:t>
            </w:r>
          </w:p>
        </w:tc>
        <w:tc>
          <w:tcPr>
            <w:tcW w:w="1276" w:type="dxa"/>
            <w:vAlign w:val="center"/>
          </w:tcPr>
          <w:p w14:paraId="16884374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1:100</w:t>
            </w:r>
          </w:p>
        </w:tc>
        <w:tc>
          <w:tcPr>
            <w:tcW w:w="2410" w:type="dxa"/>
            <w:vAlign w:val="center"/>
          </w:tcPr>
          <w:p w14:paraId="04907683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Beckman Coulter</w:t>
            </w:r>
          </w:p>
        </w:tc>
      </w:tr>
      <w:tr w:rsidR="00473A9C" w:rsidRPr="0005715E" w14:paraId="42F71810" w14:textId="77777777" w:rsidTr="001717D8">
        <w:tc>
          <w:tcPr>
            <w:tcW w:w="3510" w:type="dxa"/>
            <w:vAlign w:val="center"/>
          </w:tcPr>
          <w:p w14:paraId="079B1480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anti-CD4</w:t>
            </w:r>
          </w:p>
        </w:tc>
        <w:tc>
          <w:tcPr>
            <w:tcW w:w="1701" w:type="dxa"/>
            <w:vAlign w:val="center"/>
          </w:tcPr>
          <w:p w14:paraId="636E2573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ECD</w:t>
            </w:r>
          </w:p>
        </w:tc>
        <w:tc>
          <w:tcPr>
            <w:tcW w:w="1276" w:type="dxa"/>
            <w:vAlign w:val="center"/>
          </w:tcPr>
          <w:p w14:paraId="139F9A67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1:100</w:t>
            </w:r>
          </w:p>
        </w:tc>
        <w:tc>
          <w:tcPr>
            <w:tcW w:w="2410" w:type="dxa"/>
            <w:vAlign w:val="center"/>
          </w:tcPr>
          <w:p w14:paraId="6CF30AED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Beckman Coulter</w:t>
            </w:r>
          </w:p>
        </w:tc>
      </w:tr>
      <w:tr w:rsidR="00473A9C" w:rsidRPr="0005715E" w14:paraId="3C5C2570" w14:textId="77777777" w:rsidTr="001717D8">
        <w:tc>
          <w:tcPr>
            <w:tcW w:w="3510" w:type="dxa"/>
            <w:vAlign w:val="center"/>
          </w:tcPr>
          <w:p w14:paraId="1C63024B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anti-CD45RA</w:t>
            </w:r>
          </w:p>
        </w:tc>
        <w:tc>
          <w:tcPr>
            <w:tcW w:w="1701" w:type="dxa"/>
            <w:vAlign w:val="center"/>
          </w:tcPr>
          <w:p w14:paraId="1D5BC0FA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ECD</w:t>
            </w:r>
          </w:p>
        </w:tc>
        <w:tc>
          <w:tcPr>
            <w:tcW w:w="1276" w:type="dxa"/>
            <w:vAlign w:val="center"/>
          </w:tcPr>
          <w:p w14:paraId="64070678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1:100</w:t>
            </w:r>
          </w:p>
        </w:tc>
        <w:tc>
          <w:tcPr>
            <w:tcW w:w="2410" w:type="dxa"/>
            <w:vAlign w:val="center"/>
          </w:tcPr>
          <w:p w14:paraId="7C9006A7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Beckman Coulter</w:t>
            </w:r>
          </w:p>
        </w:tc>
      </w:tr>
      <w:tr w:rsidR="00473A9C" w:rsidRPr="0005715E" w14:paraId="4875AC19" w14:textId="77777777" w:rsidTr="001717D8">
        <w:tc>
          <w:tcPr>
            <w:tcW w:w="3510" w:type="dxa"/>
            <w:vAlign w:val="center"/>
          </w:tcPr>
          <w:p w14:paraId="3614FB67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anti-CD279 (PD-1)</w:t>
            </w:r>
          </w:p>
        </w:tc>
        <w:tc>
          <w:tcPr>
            <w:tcW w:w="1701" w:type="dxa"/>
            <w:vAlign w:val="center"/>
          </w:tcPr>
          <w:p w14:paraId="5DFD5D5B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BV421</w:t>
            </w:r>
          </w:p>
        </w:tc>
        <w:tc>
          <w:tcPr>
            <w:tcW w:w="1276" w:type="dxa"/>
            <w:vAlign w:val="center"/>
          </w:tcPr>
          <w:p w14:paraId="5BF35C13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410" w:type="dxa"/>
            <w:vAlign w:val="center"/>
          </w:tcPr>
          <w:p w14:paraId="222033F3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Biolegend</w:t>
            </w:r>
          </w:p>
        </w:tc>
      </w:tr>
      <w:tr w:rsidR="00473A9C" w:rsidRPr="0005715E" w14:paraId="0A9C9442" w14:textId="77777777" w:rsidTr="001717D8">
        <w:tc>
          <w:tcPr>
            <w:tcW w:w="3510" w:type="dxa"/>
            <w:vAlign w:val="center"/>
          </w:tcPr>
          <w:p w14:paraId="6558051C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anti-LAMP-1 (CD107a)</w:t>
            </w:r>
          </w:p>
        </w:tc>
        <w:tc>
          <w:tcPr>
            <w:tcW w:w="1701" w:type="dxa"/>
            <w:vAlign w:val="center"/>
          </w:tcPr>
          <w:p w14:paraId="7CC8EEB1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BV421</w:t>
            </w:r>
          </w:p>
        </w:tc>
        <w:tc>
          <w:tcPr>
            <w:tcW w:w="1276" w:type="dxa"/>
            <w:vAlign w:val="center"/>
          </w:tcPr>
          <w:p w14:paraId="4379EF3E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410" w:type="dxa"/>
            <w:vAlign w:val="center"/>
          </w:tcPr>
          <w:p w14:paraId="37DBE994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Biolegend</w:t>
            </w:r>
          </w:p>
        </w:tc>
      </w:tr>
      <w:tr w:rsidR="00473A9C" w:rsidRPr="0005715E" w14:paraId="01B0A3E9" w14:textId="77777777" w:rsidTr="001717D8">
        <w:tc>
          <w:tcPr>
            <w:tcW w:w="3510" w:type="dxa"/>
            <w:vAlign w:val="center"/>
          </w:tcPr>
          <w:p w14:paraId="33F05203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anti-KLRG1</w:t>
            </w:r>
          </w:p>
        </w:tc>
        <w:tc>
          <w:tcPr>
            <w:tcW w:w="1701" w:type="dxa"/>
            <w:vAlign w:val="center"/>
          </w:tcPr>
          <w:p w14:paraId="2587131C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FITC</w:t>
            </w:r>
          </w:p>
        </w:tc>
        <w:tc>
          <w:tcPr>
            <w:tcW w:w="1276" w:type="dxa"/>
            <w:vAlign w:val="center"/>
          </w:tcPr>
          <w:p w14:paraId="49F4E0BA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1:30</w:t>
            </w:r>
          </w:p>
        </w:tc>
        <w:tc>
          <w:tcPr>
            <w:tcW w:w="2410" w:type="dxa"/>
            <w:vAlign w:val="center"/>
          </w:tcPr>
          <w:p w14:paraId="525E2B51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Miltenyi Biotec</w:t>
            </w:r>
          </w:p>
        </w:tc>
      </w:tr>
      <w:tr w:rsidR="00473A9C" w:rsidRPr="0005715E" w14:paraId="320634D9" w14:textId="77777777" w:rsidTr="001717D8">
        <w:tc>
          <w:tcPr>
            <w:tcW w:w="3510" w:type="dxa"/>
            <w:vAlign w:val="center"/>
          </w:tcPr>
          <w:p w14:paraId="708CE12E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anti-CD127</w:t>
            </w:r>
          </w:p>
        </w:tc>
        <w:tc>
          <w:tcPr>
            <w:tcW w:w="1701" w:type="dxa"/>
            <w:vAlign w:val="center"/>
          </w:tcPr>
          <w:p w14:paraId="67A7A31D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APC</w:t>
            </w:r>
          </w:p>
        </w:tc>
        <w:tc>
          <w:tcPr>
            <w:tcW w:w="1276" w:type="dxa"/>
            <w:vAlign w:val="center"/>
          </w:tcPr>
          <w:p w14:paraId="2529749E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410" w:type="dxa"/>
            <w:vAlign w:val="center"/>
          </w:tcPr>
          <w:p w14:paraId="426B8626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Miltenyi Biotec</w:t>
            </w:r>
          </w:p>
        </w:tc>
      </w:tr>
      <w:tr w:rsidR="00473A9C" w:rsidRPr="0005715E" w14:paraId="3909C4BF" w14:textId="77777777" w:rsidTr="001717D8">
        <w:tc>
          <w:tcPr>
            <w:tcW w:w="3510" w:type="dxa"/>
            <w:vAlign w:val="center"/>
          </w:tcPr>
          <w:p w14:paraId="332648E4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anti-IFN</w:t>
            </w:r>
            <w:r w:rsidRPr="0005715E">
              <w:rPr>
                <w:rFonts w:asciiTheme="majorHAnsi" w:hAnsiTheme="majorHAnsi" w:hint="eastAsia"/>
                <w:lang w:val="en"/>
              </w:rPr>
              <w:t>γ</w:t>
            </w:r>
          </w:p>
        </w:tc>
        <w:tc>
          <w:tcPr>
            <w:tcW w:w="1701" w:type="dxa"/>
            <w:vAlign w:val="center"/>
          </w:tcPr>
          <w:p w14:paraId="5EC7276C" w14:textId="77777777" w:rsidR="00473A9C" w:rsidRPr="0005715E" w:rsidRDefault="00473A9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APC</w:t>
            </w:r>
          </w:p>
        </w:tc>
        <w:tc>
          <w:tcPr>
            <w:tcW w:w="1276" w:type="dxa"/>
            <w:vAlign w:val="center"/>
          </w:tcPr>
          <w:p w14:paraId="194036D9" w14:textId="77777777" w:rsidR="00473A9C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1:50</w:t>
            </w:r>
          </w:p>
        </w:tc>
        <w:tc>
          <w:tcPr>
            <w:tcW w:w="2410" w:type="dxa"/>
            <w:vAlign w:val="center"/>
          </w:tcPr>
          <w:p w14:paraId="4F84E9CA" w14:textId="77777777" w:rsidR="00473A9C" w:rsidRPr="0005715E" w:rsidRDefault="0058778F" w:rsidP="0058778F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Becton Dickinson</w:t>
            </w:r>
          </w:p>
        </w:tc>
      </w:tr>
      <w:tr w:rsidR="00661847" w:rsidRPr="0005715E" w14:paraId="2A0A4E1F" w14:textId="77777777" w:rsidTr="001717D8">
        <w:tc>
          <w:tcPr>
            <w:tcW w:w="3510" w:type="dxa"/>
            <w:vAlign w:val="center"/>
          </w:tcPr>
          <w:p w14:paraId="46CDAF79" w14:textId="77777777" w:rsidR="00661847" w:rsidRPr="0005715E" w:rsidRDefault="0066184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anti-CD127</w:t>
            </w:r>
          </w:p>
        </w:tc>
        <w:tc>
          <w:tcPr>
            <w:tcW w:w="1701" w:type="dxa"/>
            <w:vAlign w:val="center"/>
          </w:tcPr>
          <w:p w14:paraId="5BD197DC" w14:textId="77777777" w:rsidR="00661847" w:rsidRPr="0005715E" w:rsidRDefault="0066184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BV785</w:t>
            </w:r>
          </w:p>
        </w:tc>
        <w:tc>
          <w:tcPr>
            <w:tcW w:w="1276" w:type="dxa"/>
            <w:vAlign w:val="center"/>
          </w:tcPr>
          <w:p w14:paraId="12BBCA23" w14:textId="77777777" w:rsidR="00661847" w:rsidRPr="0005715E" w:rsidRDefault="0066184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1:30</w:t>
            </w:r>
          </w:p>
        </w:tc>
        <w:tc>
          <w:tcPr>
            <w:tcW w:w="2410" w:type="dxa"/>
            <w:vAlign w:val="center"/>
          </w:tcPr>
          <w:p w14:paraId="494653D1" w14:textId="77777777" w:rsidR="00661847" w:rsidRPr="0005715E" w:rsidRDefault="00661847" w:rsidP="0058778F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Biolegend</w:t>
            </w:r>
          </w:p>
        </w:tc>
      </w:tr>
    </w:tbl>
    <w:p w14:paraId="06BDEE55" w14:textId="77777777" w:rsidR="00982D89" w:rsidRDefault="00982D89" w:rsidP="00D104A4">
      <w:pPr>
        <w:spacing w:line="480" w:lineRule="auto"/>
        <w:jc w:val="both"/>
        <w:rPr>
          <w:rFonts w:asciiTheme="majorHAnsi" w:hAnsiTheme="majorHAnsi"/>
          <w:lang w:val="en"/>
        </w:rPr>
      </w:pPr>
    </w:p>
    <w:p w14:paraId="649907D6" w14:textId="77777777" w:rsidR="002F1297" w:rsidRDefault="002F1297" w:rsidP="00FC7AD8">
      <w:pPr>
        <w:spacing w:line="480" w:lineRule="auto"/>
        <w:jc w:val="both"/>
        <w:rPr>
          <w:rFonts w:asciiTheme="majorHAnsi" w:hAnsiTheme="majorHAnsi" w:cs="Times New Roman"/>
          <w:b/>
          <w:highlight w:val="yellow"/>
          <w:lang w:val="en"/>
        </w:rPr>
      </w:pPr>
    </w:p>
    <w:p w14:paraId="5638978B" w14:textId="77777777" w:rsidR="00FC7AD8" w:rsidRPr="00E9588A" w:rsidRDefault="00FC7AD8" w:rsidP="00FC7AD8">
      <w:pPr>
        <w:spacing w:line="480" w:lineRule="auto"/>
        <w:jc w:val="both"/>
        <w:rPr>
          <w:rFonts w:asciiTheme="majorHAnsi" w:hAnsiTheme="majorHAnsi" w:cs="Times New Roman"/>
          <w:b/>
          <w:highlight w:val="yellow"/>
          <w:lang w:val="en"/>
        </w:rPr>
      </w:pPr>
      <w:r w:rsidRPr="00E9588A">
        <w:rPr>
          <w:rFonts w:asciiTheme="majorHAnsi" w:hAnsiTheme="majorHAnsi" w:cs="Times New Roman"/>
          <w:b/>
          <w:highlight w:val="yellow"/>
          <w:lang w:val="en"/>
        </w:rPr>
        <w:lastRenderedPageBreak/>
        <w:t>In vitro functional assays</w:t>
      </w:r>
    </w:p>
    <w:p w14:paraId="541A8CDB" w14:textId="77777777" w:rsidR="00FC7AD8" w:rsidRPr="00E9588A" w:rsidRDefault="00FC7AD8" w:rsidP="00FC7AD8">
      <w:pPr>
        <w:spacing w:line="480" w:lineRule="auto"/>
        <w:jc w:val="both"/>
        <w:rPr>
          <w:rFonts w:asciiTheme="majorHAnsi" w:hAnsiTheme="majorHAnsi" w:cs="Times New Roman"/>
          <w:highlight w:val="yellow"/>
          <w:lang w:val="en"/>
        </w:rPr>
      </w:pPr>
      <w:r w:rsidRPr="008C5763">
        <w:rPr>
          <w:rFonts w:asciiTheme="majorHAnsi" w:hAnsiTheme="majorHAnsi" w:cs="Times New Roman"/>
          <w:highlight w:val="yellow"/>
          <w:lang w:val="en"/>
        </w:rPr>
        <w:t xml:space="preserve">The </w:t>
      </w:r>
      <w:r w:rsidR="00E9588A" w:rsidRPr="008C5763">
        <w:rPr>
          <w:rFonts w:asciiTheme="majorHAnsi" w:hAnsiTheme="majorHAnsi" w:cs="Times New Roman"/>
          <w:highlight w:val="yellow"/>
          <w:lang w:val="en"/>
        </w:rPr>
        <w:t xml:space="preserve">ProMix EBV Peptide Pool (ProImmune), </w:t>
      </w:r>
      <w:r w:rsidRPr="008C5763">
        <w:rPr>
          <w:rFonts w:asciiTheme="majorHAnsi" w:hAnsiTheme="majorHAnsi" w:cs="Times New Roman"/>
          <w:highlight w:val="yellow"/>
          <w:lang w:val="en"/>
        </w:rPr>
        <w:t xml:space="preserve">was </w:t>
      </w:r>
      <w:r w:rsidRPr="00E9588A">
        <w:rPr>
          <w:rFonts w:asciiTheme="majorHAnsi" w:hAnsiTheme="majorHAnsi" w:cs="Times New Roman"/>
          <w:highlight w:val="yellow"/>
          <w:lang w:val="en"/>
        </w:rPr>
        <w:t xml:space="preserve">added to PBMC cultured in RPMI 1640 (with 10% FCS and antibiotics/antimycotics) at the final concentration of 5 </w:t>
      </w:r>
      <w:r w:rsidRPr="00E9588A">
        <w:rPr>
          <w:rFonts w:ascii="Symbol" w:hAnsi="Symbol" w:cs="Times New Roman"/>
          <w:highlight w:val="yellow"/>
          <w:lang w:val="en"/>
        </w:rPr>
        <w:t></w:t>
      </w:r>
      <w:r w:rsidRPr="00E9588A">
        <w:rPr>
          <w:rFonts w:asciiTheme="majorHAnsi" w:hAnsiTheme="majorHAnsi" w:cs="Times New Roman"/>
          <w:highlight w:val="yellow"/>
          <w:lang w:val="en"/>
        </w:rPr>
        <w:t xml:space="preserve">g/ml. Brefeldin A, Monensin and anti-human CD107a/LAMP-1 antibodies were added. In vitro stimulation was performed at 37°C and lasted 18 hours, after which cells were harvested and processed for surface and intracellular staining. </w:t>
      </w:r>
    </w:p>
    <w:p w14:paraId="095CC681" w14:textId="4737F5AA" w:rsidR="00E171B8" w:rsidRDefault="00FC7AD8" w:rsidP="00E171B8">
      <w:pPr>
        <w:spacing w:line="480" w:lineRule="auto"/>
        <w:jc w:val="both"/>
        <w:rPr>
          <w:rFonts w:asciiTheme="majorHAnsi" w:hAnsiTheme="majorHAnsi" w:cs="Times New Roman"/>
          <w:lang w:val="en-US"/>
        </w:rPr>
      </w:pPr>
      <w:r w:rsidRPr="00E9588A">
        <w:rPr>
          <w:rFonts w:asciiTheme="majorHAnsi" w:hAnsiTheme="majorHAnsi" w:cs="Times New Roman"/>
          <w:highlight w:val="yellow"/>
          <w:lang w:val="en-US"/>
        </w:rPr>
        <w:t xml:space="preserve">SPICE (Simplified Presentation of Incredibly Complex Evaluations) software was used </w:t>
      </w:r>
      <w:r w:rsidR="00E171B8" w:rsidRPr="00E171B8">
        <w:rPr>
          <w:rFonts w:asciiTheme="majorHAnsi" w:hAnsiTheme="majorHAnsi" w:cs="Times New Roman"/>
          <w:highlight w:val="yellow"/>
          <w:lang w:val="en-US"/>
        </w:rPr>
        <w:t xml:space="preserve">for boolean analysis of EBV-reactive CD8 T cells in functional assays: each </w:t>
      </w:r>
      <w:r w:rsidR="00E171B8" w:rsidRPr="00E171B8">
        <w:rPr>
          <w:rFonts w:asciiTheme="majorHAnsi" w:hAnsiTheme="majorHAnsi" w:cs="Times New Roman"/>
          <w:highlight w:val="yellow"/>
          <w:lang w:val="en"/>
        </w:rPr>
        <w:t>IFN</w:t>
      </w:r>
      <w:r w:rsidR="00E171B8" w:rsidRPr="00E171B8">
        <w:rPr>
          <w:rFonts w:ascii="Symbol" w:hAnsi="Symbol" w:cs="Times New Roman"/>
          <w:highlight w:val="yellow"/>
          <w:lang w:val="en"/>
        </w:rPr>
        <w:t></w:t>
      </w:r>
      <w:r w:rsidR="00E171B8" w:rsidRPr="00E171B8">
        <w:rPr>
          <w:rFonts w:asciiTheme="majorHAnsi" w:hAnsiTheme="majorHAnsi" w:cs="Times New Roman"/>
          <w:highlight w:val="yellow"/>
          <w:lang w:val="en-US"/>
        </w:rPr>
        <w:t>+ cell was assigned to one of the 8 boolean subsets generated by the combination of positivity for KLRG1, CD127 and CD45RA, and the frequency of each subpopulation was measured.</w:t>
      </w:r>
      <w:r w:rsidR="00E171B8" w:rsidRPr="002D4873">
        <w:rPr>
          <w:rFonts w:asciiTheme="majorHAnsi" w:hAnsiTheme="majorHAnsi" w:cs="Times New Roman"/>
          <w:lang w:val="en-US"/>
        </w:rPr>
        <w:t xml:space="preserve"> </w:t>
      </w:r>
    </w:p>
    <w:p w14:paraId="5A265042" w14:textId="77777777" w:rsidR="00D56343" w:rsidRPr="0005715E" w:rsidRDefault="00D56343" w:rsidP="00D104A4">
      <w:pPr>
        <w:spacing w:line="480" w:lineRule="auto"/>
        <w:jc w:val="both"/>
        <w:rPr>
          <w:rFonts w:asciiTheme="majorHAnsi" w:hAnsiTheme="majorHAnsi"/>
          <w:lang w:val="en"/>
        </w:rPr>
      </w:pPr>
    </w:p>
    <w:p w14:paraId="0AE1D3D0" w14:textId="77777777" w:rsidR="00D104A4" w:rsidRPr="0005715E" w:rsidRDefault="00D104A4" w:rsidP="00D104A4">
      <w:pPr>
        <w:spacing w:line="480" w:lineRule="auto"/>
        <w:jc w:val="both"/>
        <w:rPr>
          <w:rFonts w:asciiTheme="majorHAnsi" w:hAnsiTheme="majorHAnsi"/>
          <w:b/>
          <w:lang w:val="en"/>
        </w:rPr>
      </w:pPr>
      <w:r w:rsidRPr="0005715E">
        <w:rPr>
          <w:rFonts w:asciiTheme="majorHAnsi" w:hAnsiTheme="majorHAnsi"/>
          <w:b/>
          <w:lang w:val="en"/>
        </w:rPr>
        <w:t>B cell characterization</w:t>
      </w:r>
    </w:p>
    <w:p w14:paraId="14879241" w14:textId="77777777" w:rsidR="00D104A4" w:rsidRPr="0005715E" w:rsidRDefault="00D104A4" w:rsidP="00D104A4">
      <w:pPr>
        <w:spacing w:line="480" w:lineRule="auto"/>
        <w:jc w:val="both"/>
        <w:rPr>
          <w:rFonts w:asciiTheme="majorHAnsi" w:hAnsiTheme="majorHAnsi"/>
          <w:lang w:val="en"/>
        </w:rPr>
      </w:pPr>
      <w:r w:rsidRPr="0005715E">
        <w:rPr>
          <w:rFonts w:asciiTheme="majorHAnsi" w:hAnsiTheme="majorHAnsi"/>
          <w:lang w:val="en"/>
        </w:rPr>
        <w:t xml:space="preserve">For the phenotypic characterization of B lymphocytes, </w:t>
      </w:r>
      <w:r w:rsidR="00A44BCD" w:rsidRPr="0005715E">
        <w:rPr>
          <w:rFonts w:asciiTheme="majorHAnsi" w:hAnsiTheme="majorHAnsi"/>
          <w:lang w:val="en"/>
        </w:rPr>
        <w:t xml:space="preserve">prior to staining, </w:t>
      </w:r>
      <w:r w:rsidR="003D4CC5" w:rsidRPr="0005715E">
        <w:rPr>
          <w:rFonts w:asciiTheme="majorHAnsi" w:hAnsiTheme="majorHAnsi"/>
          <w:lang w:val="en"/>
        </w:rPr>
        <w:t>1x10</w:t>
      </w:r>
      <w:r w:rsidR="003D4CC5" w:rsidRPr="0005715E">
        <w:rPr>
          <w:rFonts w:asciiTheme="majorHAnsi" w:hAnsiTheme="majorHAnsi"/>
          <w:vertAlign w:val="superscript"/>
          <w:lang w:val="en"/>
        </w:rPr>
        <w:t>6</w:t>
      </w:r>
      <w:r w:rsidR="003D4CC5" w:rsidRPr="0005715E">
        <w:rPr>
          <w:rFonts w:asciiTheme="majorHAnsi" w:hAnsiTheme="majorHAnsi"/>
          <w:lang w:val="en"/>
        </w:rPr>
        <w:t xml:space="preserve"> </w:t>
      </w:r>
      <w:r w:rsidR="00A44BCD" w:rsidRPr="0005715E">
        <w:rPr>
          <w:rFonts w:asciiTheme="majorHAnsi" w:hAnsiTheme="majorHAnsi"/>
          <w:lang w:val="en"/>
        </w:rPr>
        <w:t xml:space="preserve">PBMCs were incubated for 15 minutes at 4° C in running buffer (PBS + 1% FBS + 0.5% EDTA 500mM) </w:t>
      </w:r>
      <w:r w:rsidR="003D4CC5" w:rsidRPr="0005715E">
        <w:rPr>
          <w:rFonts w:asciiTheme="majorHAnsi" w:hAnsiTheme="majorHAnsi"/>
          <w:lang w:val="en"/>
        </w:rPr>
        <w:t>supplemented with FcR</w:t>
      </w:r>
      <w:r w:rsidR="00A44BCD" w:rsidRPr="0005715E">
        <w:rPr>
          <w:rFonts w:asciiTheme="majorHAnsi" w:hAnsiTheme="majorHAnsi"/>
          <w:lang w:val="en"/>
        </w:rPr>
        <w:t xml:space="preserve"> Blocking </w:t>
      </w:r>
      <w:r w:rsidR="003D4CC5" w:rsidRPr="0005715E">
        <w:rPr>
          <w:rFonts w:asciiTheme="majorHAnsi" w:hAnsiTheme="majorHAnsi"/>
          <w:lang w:val="en"/>
        </w:rPr>
        <w:t xml:space="preserve">Reagent </w:t>
      </w:r>
      <w:r w:rsidR="00A44BCD" w:rsidRPr="0005715E">
        <w:rPr>
          <w:rFonts w:asciiTheme="majorHAnsi" w:hAnsiTheme="majorHAnsi"/>
          <w:lang w:val="en"/>
        </w:rPr>
        <w:t xml:space="preserve">(Miltenyi Biotec) to reduce </w:t>
      </w:r>
      <w:r w:rsidR="003D4CC5" w:rsidRPr="0005715E">
        <w:rPr>
          <w:rFonts w:asciiTheme="majorHAnsi" w:hAnsiTheme="majorHAnsi"/>
          <w:lang w:val="en"/>
        </w:rPr>
        <w:t>un</w:t>
      </w:r>
      <w:r w:rsidR="00A44BCD" w:rsidRPr="0005715E">
        <w:rPr>
          <w:rFonts w:asciiTheme="majorHAnsi" w:hAnsiTheme="majorHAnsi"/>
          <w:lang w:val="en"/>
        </w:rPr>
        <w:t xml:space="preserve">specific </w:t>
      </w:r>
      <w:r w:rsidR="003D4CC5" w:rsidRPr="0005715E">
        <w:rPr>
          <w:rFonts w:asciiTheme="majorHAnsi" w:hAnsiTheme="majorHAnsi"/>
          <w:lang w:val="en"/>
        </w:rPr>
        <w:t>staining</w:t>
      </w:r>
      <w:r w:rsidR="00A44BCD" w:rsidRPr="0005715E">
        <w:rPr>
          <w:rFonts w:asciiTheme="majorHAnsi" w:hAnsiTheme="majorHAnsi"/>
          <w:lang w:val="en"/>
        </w:rPr>
        <w:t>. Next,</w:t>
      </w:r>
      <w:r w:rsidR="004037C9" w:rsidRPr="0005715E">
        <w:rPr>
          <w:rFonts w:asciiTheme="majorHAnsi" w:hAnsiTheme="majorHAnsi"/>
          <w:lang w:val="en"/>
        </w:rPr>
        <w:t xml:space="preserve"> </w:t>
      </w:r>
      <w:r w:rsidR="003D4CC5" w:rsidRPr="0005715E">
        <w:rPr>
          <w:rFonts w:asciiTheme="majorHAnsi" w:hAnsiTheme="majorHAnsi"/>
          <w:lang w:val="en"/>
        </w:rPr>
        <w:t xml:space="preserve">the </w:t>
      </w:r>
      <w:r w:rsidR="004037C9" w:rsidRPr="0005715E">
        <w:rPr>
          <w:rFonts w:asciiTheme="majorHAnsi" w:hAnsiTheme="majorHAnsi"/>
          <w:lang w:val="en"/>
        </w:rPr>
        <w:t xml:space="preserve">fluorochrome conjugated monoclonal antibodies </w:t>
      </w:r>
      <w:r w:rsidR="003D4CC5" w:rsidRPr="0005715E">
        <w:rPr>
          <w:rFonts w:asciiTheme="majorHAnsi" w:hAnsiTheme="majorHAnsi"/>
          <w:lang w:val="en"/>
        </w:rPr>
        <w:t xml:space="preserve">listed in the table below </w:t>
      </w:r>
      <w:r w:rsidR="004037C9" w:rsidRPr="0005715E">
        <w:rPr>
          <w:rFonts w:asciiTheme="majorHAnsi" w:hAnsiTheme="majorHAnsi"/>
          <w:lang w:val="en"/>
        </w:rPr>
        <w:t>were added</w:t>
      </w:r>
      <w:r w:rsidR="00292E4E" w:rsidRPr="0005715E">
        <w:rPr>
          <w:rFonts w:asciiTheme="majorHAnsi" w:hAnsiTheme="majorHAnsi"/>
          <w:lang w:val="en"/>
        </w:rPr>
        <w:t xml:space="preserve">, </w:t>
      </w:r>
      <w:r w:rsidR="005E2D45" w:rsidRPr="0005715E">
        <w:rPr>
          <w:rFonts w:asciiTheme="majorHAnsi" w:hAnsiTheme="majorHAnsi"/>
          <w:lang w:val="en"/>
        </w:rPr>
        <w:t xml:space="preserve">and </w:t>
      </w:r>
      <w:r w:rsidR="004037C9" w:rsidRPr="0005715E">
        <w:rPr>
          <w:rFonts w:asciiTheme="majorHAnsi" w:hAnsiTheme="majorHAnsi"/>
          <w:lang w:val="en"/>
        </w:rPr>
        <w:t xml:space="preserve">samples </w:t>
      </w:r>
      <w:r w:rsidR="005E2D45" w:rsidRPr="0005715E">
        <w:rPr>
          <w:rFonts w:asciiTheme="majorHAnsi" w:hAnsiTheme="majorHAnsi"/>
          <w:lang w:val="en"/>
        </w:rPr>
        <w:t>were incubated for 30 minutes at 4 °</w:t>
      </w:r>
      <w:r w:rsidR="004037C9" w:rsidRPr="0005715E">
        <w:rPr>
          <w:rFonts w:asciiTheme="majorHAnsi" w:hAnsiTheme="majorHAnsi"/>
          <w:lang w:val="en"/>
        </w:rPr>
        <w:t>C in the dark</w:t>
      </w:r>
      <w:r w:rsidR="005E2D45" w:rsidRPr="0005715E">
        <w:rPr>
          <w:rFonts w:asciiTheme="majorHAnsi" w:hAnsiTheme="majorHAnsi"/>
          <w:lang w:val="en"/>
        </w:rPr>
        <w:t xml:space="preserve">, washed, and acquired </w:t>
      </w:r>
      <w:r w:rsidR="00292E4E" w:rsidRPr="0005715E">
        <w:rPr>
          <w:rFonts w:asciiTheme="majorHAnsi" w:hAnsiTheme="majorHAnsi"/>
          <w:lang w:val="en"/>
        </w:rPr>
        <w:t xml:space="preserve"> </w:t>
      </w:r>
      <w:r w:rsidR="005E2D45" w:rsidRPr="0005715E">
        <w:rPr>
          <w:rFonts w:asciiTheme="majorHAnsi" w:hAnsiTheme="majorHAnsi"/>
          <w:lang w:val="en"/>
        </w:rPr>
        <w:t>on a Cytoflex flow cytometer.</w:t>
      </w:r>
    </w:p>
    <w:p w14:paraId="30028A3A" w14:textId="77777777" w:rsidR="00DC37F2" w:rsidRPr="0005715E" w:rsidRDefault="00DC37F2" w:rsidP="00D104A4">
      <w:pPr>
        <w:spacing w:line="480" w:lineRule="auto"/>
        <w:jc w:val="both"/>
        <w:rPr>
          <w:rFonts w:asciiTheme="majorHAnsi" w:hAnsiTheme="majorHAnsi"/>
          <w:lang w:val="en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510"/>
        <w:gridCol w:w="1701"/>
        <w:gridCol w:w="1276"/>
        <w:gridCol w:w="2410"/>
      </w:tblGrid>
      <w:tr w:rsidR="001717D8" w:rsidRPr="0005715E" w14:paraId="31A6024A" w14:textId="77777777" w:rsidTr="001717D8">
        <w:trPr>
          <w:trHeight w:val="572"/>
        </w:trPr>
        <w:tc>
          <w:tcPr>
            <w:tcW w:w="3510" w:type="dxa"/>
            <w:vAlign w:val="center"/>
          </w:tcPr>
          <w:p w14:paraId="6C7D98E7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Antibody</w:t>
            </w:r>
          </w:p>
        </w:tc>
        <w:tc>
          <w:tcPr>
            <w:tcW w:w="1701" w:type="dxa"/>
            <w:vAlign w:val="center"/>
          </w:tcPr>
          <w:p w14:paraId="295FBAD9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Fluorochrome</w:t>
            </w:r>
          </w:p>
        </w:tc>
        <w:tc>
          <w:tcPr>
            <w:tcW w:w="1276" w:type="dxa"/>
            <w:vAlign w:val="center"/>
          </w:tcPr>
          <w:p w14:paraId="588FE415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Titer</w:t>
            </w:r>
          </w:p>
        </w:tc>
        <w:tc>
          <w:tcPr>
            <w:tcW w:w="2410" w:type="dxa"/>
            <w:vAlign w:val="center"/>
          </w:tcPr>
          <w:p w14:paraId="232DDDE3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b/>
                <w:lang w:val="en"/>
              </w:rPr>
            </w:pPr>
            <w:r w:rsidRPr="0005715E">
              <w:rPr>
                <w:rFonts w:asciiTheme="majorHAnsi" w:hAnsiTheme="majorHAnsi"/>
                <w:b/>
                <w:lang w:val="en"/>
              </w:rPr>
              <w:t>Company</w:t>
            </w:r>
          </w:p>
        </w:tc>
      </w:tr>
      <w:tr w:rsidR="001717D8" w:rsidRPr="0005715E" w14:paraId="28BA8470" w14:textId="77777777" w:rsidTr="001717D8">
        <w:tc>
          <w:tcPr>
            <w:tcW w:w="3510" w:type="dxa"/>
            <w:vAlign w:val="center"/>
          </w:tcPr>
          <w:p w14:paraId="48B2ACE5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anti-CD24</w:t>
            </w:r>
          </w:p>
        </w:tc>
        <w:tc>
          <w:tcPr>
            <w:tcW w:w="1701" w:type="dxa"/>
            <w:vAlign w:val="center"/>
          </w:tcPr>
          <w:p w14:paraId="099FA922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FITC</w:t>
            </w:r>
          </w:p>
        </w:tc>
        <w:tc>
          <w:tcPr>
            <w:tcW w:w="1276" w:type="dxa"/>
            <w:vAlign w:val="center"/>
          </w:tcPr>
          <w:p w14:paraId="4D282BF5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1:30</w:t>
            </w:r>
          </w:p>
        </w:tc>
        <w:tc>
          <w:tcPr>
            <w:tcW w:w="2410" w:type="dxa"/>
            <w:vAlign w:val="center"/>
          </w:tcPr>
          <w:p w14:paraId="192B2F19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Becton Dickinson</w:t>
            </w:r>
          </w:p>
        </w:tc>
      </w:tr>
      <w:tr w:rsidR="001717D8" w:rsidRPr="0005715E" w14:paraId="645592BD" w14:textId="77777777" w:rsidTr="001717D8">
        <w:tc>
          <w:tcPr>
            <w:tcW w:w="3510" w:type="dxa"/>
            <w:vAlign w:val="center"/>
          </w:tcPr>
          <w:p w14:paraId="16777290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anti-CD274 (PDL-1)</w:t>
            </w:r>
          </w:p>
        </w:tc>
        <w:tc>
          <w:tcPr>
            <w:tcW w:w="1701" w:type="dxa"/>
            <w:vAlign w:val="center"/>
          </w:tcPr>
          <w:p w14:paraId="7F72C8CA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</w:t>
            </w:r>
          </w:p>
        </w:tc>
        <w:tc>
          <w:tcPr>
            <w:tcW w:w="1276" w:type="dxa"/>
            <w:vAlign w:val="center"/>
          </w:tcPr>
          <w:p w14:paraId="718DDC59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1:100</w:t>
            </w:r>
          </w:p>
        </w:tc>
        <w:tc>
          <w:tcPr>
            <w:tcW w:w="2410" w:type="dxa"/>
            <w:vAlign w:val="center"/>
          </w:tcPr>
          <w:p w14:paraId="6A4B42FB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BioLegend</w:t>
            </w:r>
          </w:p>
        </w:tc>
      </w:tr>
      <w:tr w:rsidR="001717D8" w:rsidRPr="0005715E" w14:paraId="1B515B34" w14:textId="77777777" w:rsidTr="001717D8">
        <w:tc>
          <w:tcPr>
            <w:tcW w:w="3510" w:type="dxa"/>
            <w:vAlign w:val="center"/>
          </w:tcPr>
          <w:p w14:paraId="41EB4AA8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lastRenderedPageBreak/>
              <w:t>anti-CD20</w:t>
            </w:r>
          </w:p>
        </w:tc>
        <w:tc>
          <w:tcPr>
            <w:tcW w:w="1701" w:type="dxa"/>
            <w:vAlign w:val="center"/>
          </w:tcPr>
          <w:p w14:paraId="7A9BDB61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ECD</w:t>
            </w:r>
          </w:p>
        </w:tc>
        <w:tc>
          <w:tcPr>
            <w:tcW w:w="1276" w:type="dxa"/>
            <w:vAlign w:val="center"/>
          </w:tcPr>
          <w:p w14:paraId="483C1BF6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1:80</w:t>
            </w:r>
          </w:p>
        </w:tc>
        <w:tc>
          <w:tcPr>
            <w:tcW w:w="2410" w:type="dxa"/>
            <w:vAlign w:val="center"/>
          </w:tcPr>
          <w:p w14:paraId="450992CB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Beckman Coulter</w:t>
            </w:r>
          </w:p>
        </w:tc>
      </w:tr>
      <w:tr w:rsidR="001717D8" w:rsidRPr="0005715E" w14:paraId="61F34D5E" w14:textId="77777777" w:rsidTr="001717D8">
        <w:tc>
          <w:tcPr>
            <w:tcW w:w="3510" w:type="dxa"/>
            <w:vAlign w:val="center"/>
          </w:tcPr>
          <w:p w14:paraId="1B248B1F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anti-CD38</w:t>
            </w:r>
          </w:p>
        </w:tc>
        <w:tc>
          <w:tcPr>
            <w:tcW w:w="1701" w:type="dxa"/>
            <w:vAlign w:val="center"/>
          </w:tcPr>
          <w:p w14:paraId="63F9E4B3" w14:textId="77777777" w:rsidR="001717D8" w:rsidRPr="0005715E" w:rsidRDefault="000D5BAC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PerCP-Cy5.5</w:t>
            </w:r>
          </w:p>
        </w:tc>
        <w:tc>
          <w:tcPr>
            <w:tcW w:w="1276" w:type="dxa"/>
            <w:vAlign w:val="center"/>
          </w:tcPr>
          <w:p w14:paraId="04C788F6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1:60</w:t>
            </w:r>
          </w:p>
        </w:tc>
        <w:tc>
          <w:tcPr>
            <w:tcW w:w="2410" w:type="dxa"/>
            <w:vAlign w:val="center"/>
          </w:tcPr>
          <w:p w14:paraId="75DE085A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Beckman Coulter</w:t>
            </w:r>
          </w:p>
        </w:tc>
      </w:tr>
      <w:tr w:rsidR="001717D8" w:rsidRPr="0005715E" w14:paraId="7D52EC8C" w14:textId="77777777" w:rsidTr="001717D8">
        <w:tc>
          <w:tcPr>
            <w:tcW w:w="3510" w:type="dxa"/>
            <w:vAlign w:val="center"/>
          </w:tcPr>
          <w:p w14:paraId="4DEC05E9" w14:textId="77777777" w:rsidR="001717D8" w:rsidRPr="0005715E" w:rsidRDefault="00A46DB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anti-IgD</w:t>
            </w:r>
          </w:p>
        </w:tc>
        <w:tc>
          <w:tcPr>
            <w:tcW w:w="1701" w:type="dxa"/>
            <w:vAlign w:val="center"/>
          </w:tcPr>
          <w:p w14:paraId="72AB91A9" w14:textId="77777777" w:rsidR="001717D8" w:rsidRPr="0005715E" w:rsidRDefault="00A46DB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PE-Cy7</w:t>
            </w:r>
          </w:p>
        </w:tc>
        <w:tc>
          <w:tcPr>
            <w:tcW w:w="1276" w:type="dxa"/>
            <w:vAlign w:val="center"/>
          </w:tcPr>
          <w:p w14:paraId="3AFFEE51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1:160</w:t>
            </w:r>
          </w:p>
        </w:tc>
        <w:tc>
          <w:tcPr>
            <w:tcW w:w="2410" w:type="dxa"/>
            <w:vAlign w:val="center"/>
          </w:tcPr>
          <w:p w14:paraId="07665EE3" w14:textId="77777777" w:rsidR="001717D8" w:rsidRPr="0005715E" w:rsidRDefault="00A46DB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Pharmingen</w:t>
            </w:r>
          </w:p>
        </w:tc>
      </w:tr>
      <w:tr w:rsidR="001717D8" w:rsidRPr="0005715E" w14:paraId="605619F7" w14:textId="77777777" w:rsidTr="001717D8">
        <w:tc>
          <w:tcPr>
            <w:tcW w:w="3510" w:type="dxa"/>
            <w:vAlign w:val="center"/>
          </w:tcPr>
          <w:p w14:paraId="7149BF00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anti-CD95 (FAS)</w:t>
            </w:r>
          </w:p>
        </w:tc>
        <w:tc>
          <w:tcPr>
            <w:tcW w:w="1701" w:type="dxa"/>
            <w:vAlign w:val="center"/>
          </w:tcPr>
          <w:p w14:paraId="353164DA" w14:textId="77777777" w:rsidR="001717D8" w:rsidRPr="0005715E" w:rsidRDefault="001717D8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BV 421</w:t>
            </w:r>
          </w:p>
        </w:tc>
        <w:tc>
          <w:tcPr>
            <w:tcW w:w="1276" w:type="dxa"/>
            <w:vAlign w:val="center"/>
          </w:tcPr>
          <w:p w14:paraId="42F6D0CB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1:30</w:t>
            </w:r>
          </w:p>
        </w:tc>
        <w:tc>
          <w:tcPr>
            <w:tcW w:w="2410" w:type="dxa"/>
            <w:vAlign w:val="center"/>
          </w:tcPr>
          <w:p w14:paraId="11B4CE2C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Biolegend</w:t>
            </w:r>
          </w:p>
        </w:tc>
      </w:tr>
      <w:tr w:rsidR="001717D8" w:rsidRPr="0005715E" w14:paraId="39ED749A" w14:textId="77777777" w:rsidTr="001717D8">
        <w:tc>
          <w:tcPr>
            <w:tcW w:w="3510" w:type="dxa"/>
            <w:vAlign w:val="center"/>
          </w:tcPr>
          <w:p w14:paraId="622F0A78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anti-CD69</w:t>
            </w:r>
          </w:p>
        </w:tc>
        <w:tc>
          <w:tcPr>
            <w:tcW w:w="1701" w:type="dxa"/>
            <w:vAlign w:val="center"/>
          </w:tcPr>
          <w:p w14:paraId="41B19375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BV 421</w:t>
            </w:r>
          </w:p>
        </w:tc>
        <w:tc>
          <w:tcPr>
            <w:tcW w:w="1276" w:type="dxa"/>
            <w:vAlign w:val="center"/>
          </w:tcPr>
          <w:p w14:paraId="5472BEA1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1:60</w:t>
            </w:r>
          </w:p>
        </w:tc>
        <w:tc>
          <w:tcPr>
            <w:tcW w:w="2410" w:type="dxa"/>
            <w:vAlign w:val="center"/>
          </w:tcPr>
          <w:p w14:paraId="5107F922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Pharmingen</w:t>
            </w:r>
          </w:p>
        </w:tc>
      </w:tr>
      <w:tr w:rsidR="001717D8" w:rsidRPr="0005715E" w14:paraId="09BB41A0" w14:textId="77777777" w:rsidTr="001717D8">
        <w:tc>
          <w:tcPr>
            <w:tcW w:w="3510" w:type="dxa"/>
            <w:vAlign w:val="center"/>
          </w:tcPr>
          <w:p w14:paraId="659F1D52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anti-CD27</w:t>
            </w:r>
          </w:p>
        </w:tc>
        <w:tc>
          <w:tcPr>
            <w:tcW w:w="1701" w:type="dxa"/>
            <w:vAlign w:val="center"/>
          </w:tcPr>
          <w:p w14:paraId="2434C9C7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BV786</w:t>
            </w:r>
          </w:p>
        </w:tc>
        <w:tc>
          <w:tcPr>
            <w:tcW w:w="1276" w:type="dxa"/>
            <w:vAlign w:val="center"/>
          </w:tcPr>
          <w:p w14:paraId="182D9BDB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1:30</w:t>
            </w:r>
          </w:p>
        </w:tc>
        <w:tc>
          <w:tcPr>
            <w:tcW w:w="2410" w:type="dxa"/>
            <w:vAlign w:val="center"/>
          </w:tcPr>
          <w:p w14:paraId="28C0DBC1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Becton Dickinson</w:t>
            </w:r>
          </w:p>
        </w:tc>
        <w:bookmarkStart w:id="0" w:name="_GoBack"/>
        <w:bookmarkEnd w:id="0"/>
      </w:tr>
      <w:tr w:rsidR="001717D8" w:rsidRPr="0005715E" w14:paraId="1B3BC6ED" w14:textId="77777777" w:rsidTr="001717D8">
        <w:tc>
          <w:tcPr>
            <w:tcW w:w="3510" w:type="dxa"/>
            <w:vAlign w:val="center"/>
          </w:tcPr>
          <w:p w14:paraId="6FD147AD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anti-CD19</w:t>
            </w:r>
          </w:p>
        </w:tc>
        <w:tc>
          <w:tcPr>
            <w:tcW w:w="1701" w:type="dxa"/>
            <w:vAlign w:val="center"/>
          </w:tcPr>
          <w:p w14:paraId="4AB7ACA9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APC-eFluor780</w:t>
            </w:r>
          </w:p>
        </w:tc>
        <w:tc>
          <w:tcPr>
            <w:tcW w:w="1276" w:type="dxa"/>
            <w:vAlign w:val="center"/>
          </w:tcPr>
          <w:p w14:paraId="0367B022" w14:textId="77777777" w:rsidR="001717D8" w:rsidRPr="0005715E" w:rsidRDefault="00E152D9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1:100</w:t>
            </w:r>
          </w:p>
        </w:tc>
        <w:tc>
          <w:tcPr>
            <w:tcW w:w="2410" w:type="dxa"/>
            <w:vAlign w:val="center"/>
          </w:tcPr>
          <w:p w14:paraId="3BDCA892" w14:textId="77777777" w:rsidR="001717D8" w:rsidRPr="0005715E" w:rsidRDefault="0058778F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eBioscience</w:t>
            </w:r>
          </w:p>
        </w:tc>
      </w:tr>
      <w:tr w:rsidR="00980B54" w:rsidRPr="0005715E" w14:paraId="524CB854" w14:textId="77777777" w:rsidTr="001717D8">
        <w:tc>
          <w:tcPr>
            <w:tcW w:w="3510" w:type="dxa"/>
            <w:vAlign w:val="center"/>
          </w:tcPr>
          <w:p w14:paraId="5F4B3C6D" w14:textId="77777777" w:rsidR="00980B54" w:rsidRPr="0005715E" w:rsidRDefault="0092242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anti-</w:t>
            </w:r>
            <w:r w:rsidR="00980B54" w:rsidRPr="0005715E">
              <w:rPr>
                <w:rFonts w:asciiTheme="majorHAnsi" w:hAnsiTheme="majorHAnsi"/>
                <w:lang w:val="en"/>
              </w:rPr>
              <w:t>CD25</w:t>
            </w:r>
          </w:p>
        </w:tc>
        <w:tc>
          <w:tcPr>
            <w:tcW w:w="1701" w:type="dxa"/>
            <w:vAlign w:val="center"/>
          </w:tcPr>
          <w:p w14:paraId="645A02A1" w14:textId="77777777" w:rsidR="00980B54" w:rsidRPr="0005715E" w:rsidRDefault="0092242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PE</w:t>
            </w:r>
          </w:p>
        </w:tc>
        <w:tc>
          <w:tcPr>
            <w:tcW w:w="1276" w:type="dxa"/>
            <w:vAlign w:val="center"/>
          </w:tcPr>
          <w:p w14:paraId="6C23BCF1" w14:textId="77777777" w:rsidR="00980B54" w:rsidRPr="0005715E" w:rsidRDefault="0092242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1:60</w:t>
            </w:r>
          </w:p>
        </w:tc>
        <w:tc>
          <w:tcPr>
            <w:tcW w:w="2410" w:type="dxa"/>
            <w:vAlign w:val="center"/>
          </w:tcPr>
          <w:p w14:paraId="32145D51" w14:textId="77777777" w:rsidR="00980B54" w:rsidRPr="0005715E" w:rsidRDefault="00922427" w:rsidP="001717D8">
            <w:pPr>
              <w:spacing w:line="480" w:lineRule="auto"/>
              <w:jc w:val="center"/>
              <w:rPr>
                <w:rFonts w:asciiTheme="majorHAnsi" w:hAnsiTheme="majorHAnsi"/>
                <w:lang w:val="en"/>
              </w:rPr>
            </w:pPr>
            <w:r w:rsidRPr="0005715E">
              <w:rPr>
                <w:rFonts w:asciiTheme="majorHAnsi" w:hAnsiTheme="majorHAnsi"/>
                <w:lang w:val="en"/>
              </w:rPr>
              <w:t>Becton Dickinson</w:t>
            </w:r>
          </w:p>
        </w:tc>
      </w:tr>
    </w:tbl>
    <w:p w14:paraId="440F7C9A" w14:textId="77777777" w:rsidR="00D56343" w:rsidRDefault="00D56343" w:rsidP="00D104A4">
      <w:pPr>
        <w:spacing w:line="480" w:lineRule="auto"/>
        <w:jc w:val="both"/>
        <w:rPr>
          <w:rFonts w:asciiTheme="majorHAnsi" w:hAnsiTheme="majorHAnsi"/>
          <w:lang w:val="en"/>
        </w:rPr>
      </w:pPr>
    </w:p>
    <w:p w14:paraId="1C264CCB" w14:textId="77777777" w:rsidR="001815BE" w:rsidRPr="0005715E" w:rsidRDefault="001815BE" w:rsidP="00D104A4">
      <w:pPr>
        <w:spacing w:line="480" w:lineRule="auto"/>
        <w:jc w:val="both"/>
        <w:rPr>
          <w:rFonts w:asciiTheme="majorHAnsi" w:hAnsiTheme="majorHAnsi"/>
          <w:lang w:val="en"/>
        </w:rPr>
      </w:pPr>
    </w:p>
    <w:p w14:paraId="212BF537" w14:textId="77777777" w:rsidR="001901AB" w:rsidRPr="0005715E" w:rsidRDefault="001901AB" w:rsidP="001901AB">
      <w:pPr>
        <w:pStyle w:val="HTMLPreformatted"/>
        <w:spacing w:line="480" w:lineRule="auto"/>
        <w:jc w:val="both"/>
        <w:rPr>
          <w:rFonts w:asciiTheme="majorHAnsi" w:hAnsiTheme="majorHAnsi" w:cs="Times New Roman"/>
          <w:b/>
          <w:noProof/>
          <w:sz w:val="24"/>
          <w:szCs w:val="24"/>
          <w:lang w:val="en"/>
        </w:rPr>
      </w:pPr>
      <w:r w:rsidRPr="0005715E">
        <w:rPr>
          <w:rFonts w:asciiTheme="majorHAnsi" w:hAnsiTheme="majorHAnsi" w:cs="Times New Roman"/>
          <w:b/>
          <w:noProof/>
          <w:sz w:val="24"/>
          <w:szCs w:val="24"/>
          <w:lang w:val="en"/>
        </w:rPr>
        <w:t xml:space="preserve">Flow cytometry </w:t>
      </w:r>
      <w:r w:rsidR="00292E4E" w:rsidRPr="0005715E">
        <w:rPr>
          <w:rFonts w:asciiTheme="majorHAnsi" w:hAnsiTheme="majorHAnsi" w:cs="Times New Roman"/>
          <w:b/>
          <w:noProof/>
          <w:sz w:val="24"/>
          <w:szCs w:val="24"/>
          <w:lang w:val="en"/>
        </w:rPr>
        <w:t>data analysis</w:t>
      </w:r>
    </w:p>
    <w:p w14:paraId="2E6B0D95" w14:textId="77777777" w:rsidR="0069583B" w:rsidRDefault="001901AB" w:rsidP="00661847">
      <w:pPr>
        <w:spacing w:line="480" w:lineRule="auto"/>
        <w:jc w:val="both"/>
      </w:pPr>
      <w:r w:rsidRPr="0005715E">
        <w:rPr>
          <w:rFonts w:asciiTheme="majorHAnsi" w:hAnsiTheme="majorHAnsi" w:cs="Times New Roman"/>
          <w:lang w:val="en"/>
        </w:rPr>
        <w:t xml:space="preserve">For each sample, approximately 300,000 lymphocytes were selected based on scatter parameters, and the analysis was conducted after the exclusion of dead cells </w:t>
      </w:r>
      <w:r w:rsidR="00D56343" w:rsidRPr="0005715E">
        <w:rPr>
          <w:rFonts w:asciiTheme="majorHAnsi" w:hAnsiTheme="majorHAnsi"/>
          <w:lang w:val="en"/>
        </w:rPr>
        <w:t xml:space="preserve">(LIVE/DEAD Fixable Aqua Dead Cell Stain, ThermoFisher) </w:t>
      </w:r>
      <w:r w:rsidRPr="0005715E">
        <w:rPr>
          <w:rFonts w:asciiTheme="majorHAnsi" w:hAnsiTheme="majorHAnsi" w:cs="Times New Roman"/>
          <w:lang w:val="en"/>
        </w:rPr>
        <w:t xml:space="preserve">and coincident events. Surface density of selected receptors was expressed in arbitrary median fluorescence intensity (MFI) units. </w:t>
      </w:r>
      <w:r w:rsidR="00292E4E" w:rsidRPr="0005715E">
        <w:rPr>
          <w:rFonts w:asciiTheme="majorHAnsi" w:hAnsiTheme="majorHAnsi" w:cs="Times New Roman"/>
          <w:lang w:val="en"/>
        </w:rPr>
        <w:t xml:space="preserve"> </w:t>
      </w:r>
      <w:r w:rsidRPr="0005715E">
        <w:rPr>
          <w:rFonts w:asciiTheme="majorHAnsi" w:hAnsiTheme="majorHAnsi" w:cs="Times New Roman"/>
          <w:lang w:val="en"/>
        </w:rPr>
        <w:t>The data was compensated and analyzed using FlowJo v10.5 (</w:t>
      </w:r>
      <w:r w:rsidR="00292E4E" w:rsidRPr="0005715E">
        <w:rPr>
          <w:rFonts w:asciiTheme="majorHAnsi" w:hAnsiTheme="majorHAnsi" w:cs="Times New Roman"/>
          <w:lang w:val="en"/>
        </w:rPr>
        <w:t>BD</w:t>
      </w:r>
      <w:r w:rsidRPr="0005715E">
        <w:rPr>
          <w:rFonts w:asciiTheme="majorHAnsi" w:hAnsiTheme="majorHAnsi" w:cs="Times New Roman"/>
          <w:lang w:val="en"/>
        </w:rPr>
        <w:t>).</w:t>
      </w:r>
    </w:p>
    <w:sectPr w:rsidR="0069583B" w:rsidSect="00A210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munopower">
    <w15:presenceInfo w15:providerId="None" w15:userId="Immunopo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4"/>
    <w:rsid w:val="0005715E"/>
    <w:rsid w:val="000D5BAC"/>
    <w:rsid w:val="000F35E6"/>
    <w:rsid w:val="00103D7C"/>
    <w:rsid w:val="001422A2"/>
    <w:rsid w:val="00142C26"/>
    <w:rsid w:val="00143BCD"/>
    <w:rsid w:val="001717D8"/>
    <w:rsid w:val="001815BE"/>
    <w:rsid w:val="001901AB"/>
    <w:rsid w:val="001D1DC1"/>
    <w:rsid w:val="0022171D"/>
    <w:rsid w:val="00284961"/>
    <w:rsid w:val="00292E4E"/>
    <w:rsid w:val="002D6BE4"/>
    <w:rsid w:val="002F1297"/>
    <w:rsid w:val="00395076"/>
    <w:rsid w:val="003D4CC5"/>
    <w:rsid w:val="004037C9"/>
    <w:rsid w:val="00453AC2"/>
    <w:rsid w:val="00473A9C"/>
    <w:rsid w:val="0047409B"/>
    <w:rsid w:val="004A288B"/>
    <w:rsid w:val="0053237A"/>
    <w:rsid w:val="0058778F"/>
    <w:rsid w:val="005E2D45"/>
    <w:rsid w:val="00615C1C"/>
    <w:rsid w:val="00641070"/>
    <w:rsid w:val="00661847"/>
    <w:rsid w:val="006876CD"/>
    <w:rsid w:val="0069583B"/>
    <w:rsid w:val="006E2A7B"/>
    <w:rsid w:val="007425F8"/>
    <w:rsid w:val="00776157"/>
    <w:rsid w:val="008570CC"/>
    <w:rsid w:val="008C5763"/>
    <w:rsid w:val="008E7CA5"/>
    <w:rsid w:val="00912234"/>
    <w:rsid w:val="009170B3"/>
    <w:rsid w:val="00922427"/>
    <w:rsid w:val="00980B54"/>
    <w:rsid w:val="00982D89"/>
    <w:rsid w:val="009A41F1"/>
    <w:rsid w:val="009C7590"/>
    <w:rsid w:val="009E1F52"/>
    <w:rsid w:val="00A04798"/>
    <w:rsid w:val="00A210AF"/>
    <w:rsid w:val="00A44BCD"/>
    <w:rsid w:val="00A46DB8"/>
    <w:rsid w:val="00B90FEC"/>
    <w:rsid w:val="00BA26FD"/>
    <w:rsid w:val="00BA7EE9"/>
    <w:rsid w:val="00C027F0"/>
    <w:rsid w:val="00C16339"/>
    <w:rsid w:val="00C73BCC"/>
    <w:rsid w:val="00CF5780"/>
    <w:rsid w:val="00D05E5D"/>
    <w:rsid w:val="00D104A4"/>
    <w:rsid w:val="00D56343"/>
    <w:rsid w:val="00DC37F2"/>
    <w:rsid w:val="00E152D9"/>
    <w:rsid w:val="00E171B8"/>
    <w:rsid w:val="00E51214"/>
    <w:rsid w:val="00E9588A"/>
    <w:rsid w:val="00EA5EC1"/>
    <w:rsid w:val="00EA6A58"/>
    <w:rsid w:val="00EE6772"/>
    <w:rsid w:val="00F349EE"/>
    <w:rsid w:val="00FA23DD"/>
    <w:rsid w:val="00FC60EB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A0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A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1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04A4"/>
    <w:rPr>
      <w:rFonts w:ascii="Courier" w:hAnsi="Courier" w:cs="Courier"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C"/>
    <w:rPr>
      <w:rFonts w:ascii="Lucida Grande" w:hAnsi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7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A4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1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04A4"/>
    <w:rPr>
      <w:rFonts w:ascii="Courier" w:hAnsi="Courier" w:cs="Courier"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C"/>
    <w:rPr>
      <w:rFonts w:ascii="Lucida Grande" w:hAnsi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7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4E5E6AC-8329-0B48-96EA-8D2EB16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Fondazione Santa Lucia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Angelini</dc:creator>
  <cp:keywords/>
  <dc:description/>
  <cp:lastModifiedBy>Daniela Angelini</cp:lastModifiedBy>
  <cp:revision>19</cp:revision>
  <dcterms:created xsi:type="dcterms:W3CDTF">2020-06-22T15:03:00Z</dcterms:created>
  <dcterms:modified xsi:type="dcterms:W3CDTF">2020-06-30T15:06:00Z</dcterms:modified>
</cp:coreProperties>
</file>