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0BB" w:rsidRPr="00F944F6" w:rsidRDefault="009040BB" w:rsidP="009040BB">
      <w:pPr>
        <w:tabs>
          <w:tab w:val="left" w:pos="397"/>
        </w:tabs>
        <w:spacing w:after="0" w:line="480" w:lineRule="auto"/>
        <w:jc w:val="both"/>
        <w:rPr>
          <w:rFonts w:ascii="Arial" w:hAnsi="Arial" w:cs="Arial"/>
          <w:b/>
          <w:sz w:val="28"/>
          <w:szCs w:val="24"/>
          <w:lang w:val="en-GB"/>
        </w:rPr>
      </w:pPr>
      <w:r>
        <w:rPr>
          <w:rFonts w:ascii="Arial" w:hAnsi="Arial" w:cs="Arial"/>
          <w:b/>
          <w:sz w:val="28"/>
          <w:szCs w:val="24"/>
          <w:lang w:val="en-GB"/>
        </w:rPr>
        <w:t>S</w:t>
      </w:r>
      <w:bookmarkStart w:id="0" w:name="_GoBack"/>
      <w:bookmarkEnd w:id="0"/>
      <w:r w:rsidRPr="00F944F6">
        <w:rPr>
          <w:rFonts w:ascii="Arial" w:hAnsi="Arial" w:cs="Arial"/>
          <w:b/>
          <w:sz w:val="28"/>
          <w:szCs w:val="24"/>
          <w:lang w:val="en-GB"/>
        </w:rPr>
        <w:t>upplementary tables</w:t>
      </w:r>
    </w:p>
    <w:p w:rsidR="009040BB" w:rsidRPr="00F944F6" w:rsidRDefault="009040BB" w:rsidP="009040BB">
      <w:pPr>
        <w:pStyle w:val="Caption"/>
        <w:keepNext/>
        <w:ind w:right="230"/>
        <w:jc w:val="both"/>
        <w:rPr>
          <w:rFonts w:ascii="Arial" w:hAnsi="Arial" w:cs="Arial"/>
          <w:b/>
          <w:i w:val="0"/>
          <w:sz w:val="24"/>
          <w:szCs w:val="24"/>
          <w:lang w:val="en-US"/>
        </w:rPr>
      </w:pPr>
    </w:p>
    <w:p w:rsidR="009040BB" w:rsidRPr="00F944F6" w:rsidRDefault="009040BB" w:rsidP="009040BB">
      <w:pPr>
        <w:pStyle w:val="Caption"/>
        <w:keepNext/>
        <w:ind w:right="230"/>
        <w:jc w:val="both"/>
        <w:rPr>
          <w:rFonts w:ascii="Arial" w:hAnsi="Arial" w:cs="Arial"/>
          <w:b/>
          <w:i w:val="0"/>
          <w:sz w:val="24"/>
          <w:szCs w:val="24"/>
          <w:lang w:val="en-US"/>
        </w:rPr>
      </w:pPr>
    </w:p>
    <w:p w:rsidR="009040BB" w:rsidRPr="00F944F6" w:rsidRDefault="009040BB" w:rsidP="009040BB">
      <w:pPr>
        <w:pStyle w:val="Caption"/>
        <w:keepNext/>
        <w:ind w:right="230"/>
        <w:jc w:val="both"/>
        <w:rPr>
          <w:rFonts w:ascii="Arial" w:eastAsiaTheme="minorHAnsi" w:hAnsi="Arial" w:cs="Arial"/>
          <w:i w:val="0"/>
          <w:color w:val="auto"/>
          <w:sz w:val="24"/>
          <w:szCs w:val="24"/>
          <w:lang w:val="en-US"/>
        </w:rPr>
      </w:pPr>
      <w:r w:rsidRPr="00F944F6">
        <w:rPr>
          <w:rFonts w:ascii="Arial" w:hAnsi="Arial" w:cs="Arial"/>
          <w:b/>
          <w:i w:val="0"/>
          <w:sz w:val="24"/>
          <w:szCs w:val="24"/>
          <w:lang w:val="en-US"/>
        </w:rPr>
        <w:t>Suppl</w:t>
      </w:r>
      <w:r w:rsidRPr="00F944F6">
        <w:rPr>
          <w:rFonts w:ascii="Arial" w:hAnsi="Arial" w:cs="Arial"/>
          <w:sz w:val="24"/>
          <w:szCs w:val="24"/>
          <w:lang w:val="en-US"/>
        </w:rPr>
        <w:t xml:space="preserve">. </w:t>
      </w:r>
      <w:r w:rsidRPr="00F944F6">
        <w:rPr>
          <w:rFonts w:ascii="Arial" w:hAnsi="Arial" w:cs="Arial"/>
          <w:b/>
          <w:bCs/>
          <w:i w:val="0"/>
          <w:iCs w:val="0"/>
          <w:color w:val="auto"/>
          <w:sz w:val="24"/>
          <w:szCs w:val="24"/>
          <w:lang w:val="en-GB"/>
        </w:rPr>
        <w:t>Table 1</w:t>
      </w:r>
      <w:r w:rsidRPr="00F944F6">
        <w:rPr>
          <w:rFonts w:ascii="Arial" w:hAnsi="Arial" w:cs="Arial"/>
          <w:i w:val="0"/>
          <w:iCs w:val="0"/>
          <w:color w:val="auto"/>
          <w:sz w:val="24"/>
          <w:szCs w:val="24"/>
          <w:lang w:val="en-GB"/>
        </w:rPr>
        <w:t xml:space="preserve">  </w:t>
      </w:r>
      <w:r w:rsidRPr="00F944F6">
        <w:rPr>
          <w:rFonts w:ascii="Arial" w:hAnsi="Arial" w:cs="Arial"/>
          <w:b/>
          <w:i w:val="0"/>
          <w:iCs w:val="0"/>
          <w:color w:val="auto"/>
          <w:sz w:val="24"/>
          <w:szCs w:val="24"/>
          <w:lang w:val="en-GB"/>
        </w:rPr>
        <w:t xml:space="preserve"> Rituximab</w:t>
      </w:r>
      <w:r w:rsidRPr="00F944F6">
        <w:rPr>
          <w:rFonts w:ascii="Arial" w:hAnsi="Arial" w:cs="Arial"/>
          <w:i w:val="0"/>
          <w:iCs w:val="0"/>
          <w:color w:val="auto"/>
          <w:sz w:val="24"/>
          <w:szCs w:val="24"/>
          <w:lang w:val="en-GB"/>
        </w:rPr>
        <w:t xml:space="preserve"> phase 2 and 3 trials for the treatment of multiple sclerosis  </w:t>
      </w:r>
    </w:p>
    <w:p w:rsidR="009040BB" w:rsidRPr="00F944F6" w:rsidRDefault="009040BB" w:rsidP="009040BB"/>
    <w:tbl>
      <w:tblPr>
        <w:tblStyle w:val="TableGrid"/>
        <w:tblW w:w="141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50"/>
        <w:gridCol w:w="4613"/>
        <w:gridCol w:w="6403"/>
      </w:tblGrid>
      <w:tr w:rsidR="009040BB" w:rsidRPr="00F944F6" w:rsidTr="0082094D">
        <w:tc>
          <w:tcPr>
            <w:tcW w:w="3150" w:type="dxa"/>
            <w:tcBorders>
              <w:top w:val="nil"/>
              <w:left w:val="nil"/>
              <w:bottom w:val="single" w:sz="4" w:space="0" w:color="auto"/>
              <w:right w:val="single" w:sz="4" w:space="0" w:color="auto"/>
            </w:tcBorders>
            <w:hideMark/>
          </w:tcPr>
          <w:p w:rsidR="009040BB" w:rsidRPr="00F944F6" w:rsidRDefault="009040BB" w:rsidP="0082094D">
            <w:pPr>
              <w:rPr>
                <w:rFonts w:ascii="Arial" w:hAnsi="Arial" w:cs="Arial"/>
                <w:b/>
                <w:sz w:val="24"/>
                <w:szCs w:val="24"/>
              </w:rPr>
            </w:pPr>
            <w:r w:rsidRPr="00F944F6">
              <w:rPr>
                <w:rFonts w:ascii="Arial" w:hAnsi="Arial" w:cs="Arial"/>
                <w:b/>
                <w:bCs/>
                <w:sz w:val="24"/>
                <w:szCs w:val="24"/>
                <w:lang w:val="en-GB"/>
              </w:rPr>
              <w:t>Trial</w:t>
            </w:r>
          </w:p>
        </w:tc>
        <w:tc>
          <w:tcPr>
            <w:tcW w:w="4613" w:type="dxa"/>
            <w:tcBorders>
              <w:top w:val="nil"/>
              <w:left w:val="single" w:sz="4" w:space="0" w:color="auto"/>
              <w:bottom w:val="single" w:sz="4" w:space="0" w:color="auto"/>
              <w:right w:val="single" w:sz="4" w:space="0" w:color="auto"/>
            </w:tcBorders>
            <w:hideMark/>
          </w:tcPr>
          <w:p w:rsidR="009040BB" w:rsidRPr="00F944F6" w:rsidRDefault="009040BB" w:rsidP="0082094D">
            <w:pPr>
              <w:rPr>
                <w:rFonts w:ascii="Arial" w:hAnsi="Arial" w:cs="Arial"/>
                <w:b/>
                <w:sz w:val="24"/>
                <w:szCs w:val="24"/>
              </w:rPr>
            </w:pPr>
            <w:r w:rsidRPr="00F944F6">
              <w:rPr>
                <w:rFonts w:ascii="Arial" w:hAnsi="Arial" w:cs="Arial"/>
                <w:b/>
                <w:bCs/>
                <w:sz w:val="24"/>
                <w:szCs w:val="24"/>
                <w:lang w:val="en-GB"/>
              </w:rPr>
              <w:t>Primary endpoint</w:t>
            </w:r>
          </w:p>
          <w:p w:rsidR="009040BB" w:rsidRPr="00F944F6" w:rsidRDefault="009040BB" w:rsidP="0082094D">
            <w:pPr>
              <w:rPr>
                <w:rFonts w:ascii="Arial" w:hAnsi="Arial" w:cs="Arial"/>
                <w:b/>
                <w:i/>
                <w:sz w:val="24"/>
                <w:szCs w:val="24"/>
              </w:rPr>
            </w:pPr>
            <w:r w:rsidRPr="00F944F6">
              <w:rPr>
                <w:rFonts w:ascii="Arial" w:hAnsi="Arial" w:cs="Arial"/>
                <w:b/>
                <w:bCs/>
                <w:i/>
                <w:iCs/>
                <w:sz w:val="24"/>
                <w:szCs w:val="24"/>
                <w:lang w:val="en-GB"/>
              </w:rPr>
              <w:t>Result</w:t>
            </w:r>
          </w:p>
        </w:tc>
        <w:tc>
          <w:tcPr>
            <w:tcW w:w="6403" w:type="dxa"/>
            <w:tcBorders>
              <w:top w:val="nil"/>
              <w:left w:val="single" w:sz="4" w:space="0" w:color="auto"/>
              <w:bottom w:val="single" w:sz="4" w:space="0" w:color="auto"/>
              <w:right w:val="nil"/>
            </w:tcBorders>
            <w:hideMark/>
          </w:tcPr>
          <w:p w:rsidR="009040BB" w:rsidRPr="00F944F6" w:rsidRDefault="009040BB" w:rsidP="0082094D">
            <w:pPr>
              <w:rPr>
                <w:rFonts w:ascii="Arial" w:hAnsi="Arial" w:cs="Arial"/>
                <w:b/>
                <w:sz w:val="24"/>
                <w:szCs w:val="24"/>
              </w:rPr>
            </w:pPr>
            <w:r w:rsidRPr="00F944F6">
              <w:rPr>
                <w:rFonts w:ascii="Arial" w:hAnsi="Arial" w:cs="Arial"/>
                <w:b/>
                <w:bCs/>
                <w:sz w:val="24"/>
                <w:szCs w:val="24"/>
                <w:lang w:val="en-GB"/>
              </w:rPr>
              <w:t>Secondary endpoint</w:t>
            </w:r>
          </w:p>
          <w:p w:rsidR="009040BB" w:rsidRPr="00F944F6" w:rsidRDefault="009040BB" w:rsidP="0082094D">
            <w:pPr>
              <w:rPr>
                <w:rFonts w:ascii="Arial" w:hAnsi="Arial" w:cs="Arial"/>
                <w:b/>
                <w:i/>
                <w:sz w:val="24"/>
                <w:szCs w:val="24"/>
              </w:rPr>
            </w:pPr>
            <w:r w:rsidRPr="00F944F6">
              <w:rPr>
                <w:rFonts w:ascii="Arial" w:hAnsi="Arial" w:cs="Arial"/>
                <w:b/>
                <w:bCs/>
                <w:i/>
                <w:iCs/>
                <w:sz w:val="24"/>
                <w:szCs w:val="24"/>
                <w:lang w:val="en-GB"/>
              </w:rPr>
              <w:t>Result</w:t>
            </w:r>
          </w:p>
        </w:tc>
      </w:tr>
      <w:tr w:rsidR="009040BB" w:rsidRPr="00F944F6" w:rsidTr="0082094D">
        <w:tc>
          <w:tcPr>
            <w:tcW w:w="3150" w:type="dxa"/>
            <w:tcBorders>
              <w:top w:val="single" w:sz="4" w:space="0" w:color="auto"/>
              <w:left w:val="nil"/>
              <w:bottom w:val="single" w:sz="4" w:space="0" w:color="auto"/>
              <w:right w:val="single" w:sz="4" w:space="0" w:color="auto"/>
            </w:tcBorders>
            <w:hideMark/>
          </w:tcPr>
          <w:p w:rsidR="009040BB" w:rsidRPr="00F944F6" w:rsidRDefault="009040BB" w:rsidP="0082094D">
            <w:pPr>
              <w:rPr>
                <w:rFonts w:ascii="Arial" w:hAnsi="Arial" w:cs="Arial"/>
                <w:sz w:val="24"/>
                <w:szCs w:val="24"/>
                <w:lang w:val="fr-FR"/>
              </w:rPr>
            </w:pPr>
            <w:r w:rsidRPr="00F944F6">
              <w:rPr>
                <w:rFonts w:ascii="Arial" w:hAnsi="Arial" w:cs="Arial"/>
                <w:sz w:val="24"/>
                <w:szCs w:val="24"/>
                <w:lang w:val="fr-FR"/>
              </w:rPr>
              <w:t>Phase 2 RRMS</w:t>
            </w:r>
          </w:p>
          <w:p w:rsidR="009040BB" w:rsidRPr="00F944F6" w:rsidRDefault="009040BB" w:rsidP="0082094D">
            <w:pPr>
              <w:rPr>
                <w:rFonts w:ascii="Arial" w:hAnsi="Arial" w:cs="Arial"/>
                <w:sz w:val="24"/>
                <w:szCs w:val="24"/>
                <w:lang w:val="fr-FR"/>
              </w:rPr>
            </w:pPr>
            <w:r w:rsidRPr="00F944F6">
              <w:rPr>
                <w:rFonts w:ascii="Arial" w:hAnsi="Arial" w:cs="Arial"/>
                <w:sz w:val="24"/>
                <w:szCs w:val="24"/>
                <w:lang w:val="fr-FR"/>
              </w:rPr>
              <w:t>Hauser et al. 2008</w:t>
            </w:r>
          </w:p>
          <w:p w:rsidR="009040BB" w:rsidRPr="00F944F6" w:rsidRDefault="009040BB" w:rsidP="0082094D">
            <w:pPr>
              <w:rPr>
                <w:rFonts w:ascii="Arial" w:hAnsi="Arial" w:cs="Arial"/>
                <w:sz w:val="24"/>
                <w:szCs w:val="24"/>
              </w:rPr>
            </w:pPr>
            <w:r w:rsidRPr="00F944F6">
              <w:rPr>
                <w:rFonts w:ascii="Arial" w:hAnsi="Arial" w:cs="Arial"/>
                <w:sz w:val="24"/>
                <w:szCs w:val="24"/>
                <w:lang w:val="en-GB"/>
              </w:rPr>
              <w:t xml:space="preserve">NEJM </w:t>
            </w:r>
          </w:p>
          <w:p w:rsidR="009040BB" w:rsidRPr="00F944F6" w:rsidRDefault="009040BB" w:rsidP="0082094D">
            <w:pPr>
              <w:rPr>
                <w:rFonts w:ascii="Arial" w:hAnsi="Arial" w:cs="Arial"/>
                <w:sz w:val="24"/>
                <w:szCs w:val="24"/>
              </w:rPr>
            </w:pPr>
            <w:r w:rsidRPr="00F944F6">
              <w:rPr>
                <w:rFonts w:ascii="Arial" w:hAnsi="Arial" w:cs="Arial"/>
                <w:sz w:val="24"/>
                <w:szCs w:val="24"/>
                <w:lang w:val="en-GB"/>
              </w:rPr>
              <w:t>(HERMES)</w:t>
            </w:r>
          </w:p>
          <w:p w:rsidR="009040BB" w:rsidRPr="00F944F6" w:rsidRDefault="009040BB" w:rsidP="0082094D">
            <w:pPr>
              <w:rPr>
                <w:rFonts w:ascii="Arial" w:hAnsi="Arial" w:cs="Arial"/>
                <w:sz w:val="24"/>
                <w:szCs w:val="24"/>
              </w:rPr>
            </w:pPr>
            <w:r w:rsidRPr="00F944F6">
              <w:rPr>
                <w:rFonts w:ascii="Arial" w:hAnsi="Arial" w:cs="Arial"/>
                <w:sz w:val="24"/>
                <w:szCs w:val="24"/>
                <w:lang w:val="en-GB"/>
              </w:rPr>
              <w:t>n=104 patients</w:t>
            </w:r>
          </w:p>
        </w:tc>
        <w:tc>
          <w:tcPr>
            <w:tcW w:w="4613" w:type="dxa"/>
            <w:tcBorders>
              <w:top w:val="single" w:sz="4" w:space="0" w:color="auto"/>
              <w:left w:val="single" w:sz="4" w:space="0" w:color="auto"/>
              <w:bottom w:val="single" w:sz="4" w:space="0" w:color="auto"/>
              <w:right w:val="single" w:sz="4" w:space="0" w:color="auto"/>
            </w:tcBorders>
            <w:hideMark/>
          </w:tcPr>
          <w:p w:rsidR="009040BB" w:rsidRPr="00F944F6" w:rsidRDefault="009040BB" w:rsidP="0082094D">
            <w:pPr>
              <w:pStyle w:val="ListParagraph"/>
              <w:numPr>
                <w:ilvl w:val="0"/>
                <w:numId w:val="1"/>
              </w:numPr>
              <w:spacing w:line="240" w:lineRule="auto"/>
              <w:ind w:left="176" w:hanging="176"/>
              <w:rPr>
                <w:rFonts w:ascii="Arial" w:hAnsi="Arial" w:cs="Arial"/>
                <w:sz w:val="24"/>
                <w:szCs w:val="24"/>
                <w:lang w:val="en-US"/>
              </w:rPr>
            </w:pPr>
            <w:r w:rsidRPr="00F944F6">
              <w:rPr>
                <w:rFonts w:ascii="Arial" w:hAnsi="Arial" w:cs="Arial"/>
                <w:sz w:val="24"/>
                <w:szCs w:val="24"/>
                <w:lang w:val="en-GB"/>
              </w:rPr>
              <w:t xml:space="preserve">Total number of gadolinium-positive T1 lesions in serial brain MRIs at weeks 12, 16, 20, 24: </w:t>
            </w:r>
          </w:p>
          <w:p w:rsidR="009040BB" w:rsidRPr="00F944F6" w:rsidRDefault="009040BB" w:rsidP="0082094D">
            <w:pPr>
              <w:pStyle w:val="ListParagraph"/>
              <w:numPr>
                <w:ilvl w:val="0"/>
                <w:numId w:val="2"/>
              </w:numPr>
              <w:spacing w:line="240" w:lineRule="auto"/>
              <w:ind w:left="318" w:hanging="318"/>
              <w:rPr>
                <w:rFonts w:ascii="Arial" w:hAnsi="Arial" w:cs="Arial"/>
                <w:i/>
                <w:sz w:val="24"/>
                <w:szCs w:val="24"/>
                <w:lang w:val="en-US"/>
              </w:rPr>
            </w:pPr>
            <w:r w:rsidRPr="00F944F6">
              <w:rPr>
                <w:rFonts w:ascii="Arial" w:hAnsi="Arial" w:cs="Arial"/>
                <w:i/>
                <w:iCs/>
                <w:sz w:val="24"/>
                <w:szCs w:val="24"/>
                <w:lang w:val="en-GB"/>
              </w:rPr>
              <w:t>Rituximab is more effective than placebo</w:t>
            </w:r>
          </w:p>
        </w:tc>
        <w:tc>
          <w:tcPr>
            <w:tcW w:w="6403" w:type="dxa"/>
            <w:tcBorders>
              <w:top w:val="single" w:sz="4" w:space="0" w:color="auto"/>
              <w:left w:val="single" w:sz="4" w:space="0" w:color="auto"/>
              <w:bottom w:val="single" w:sz="4" w:space="0" w:color="auto"/>
              <w:right w:val="nil"/>
            </w:tcBorders>
            <w:hideMark/>
          </w:tcPr>
          <w:p w:rsidR="009040BB" w:rsidRPr="00F944F6" w:rsidRDefault="009040BB" w:rsidP="0082094D">
            <w:pPr>
              <w:pStyle w:val="ListParagraph"/>
              <w:numPr>
                <w:ilvl w:val="0"/>
                <w:numId w:val="1"/>
              </w:numPr>
              <w:spacing w:line="240" w:lineRule="auto"/>
              <w:ind w:left="175" w:hanging="175"/>
              <w:rPr>
                <w:rFonts w:ascii="Arial" w:hAnsi="Arial" w:cs="Arial"/>
                <w:sz w:val="24"/>
                <w:szCs w:val="24"/>
              </w:rPr>
            </w:pPr>
            <w:r w:rsidRPr="00F944F6">
              <w:rPr>
                <w:rFonts w:ascii="Arial" w:hAnsi="Arial" w:cs="Arial"/>
                <w:sz w:val="24"/>
                <w:szCs w:val="24"/>
                <w:lang w:val="en-GB"/>
              </w:rPr>
              <w:t xml:space="preserve">Proportion of relapsing patients; </w:t>
            </w:r>
          </w:p>
          <w:p w:rsidR="009040BB" w:rsidRPr="00F944F6" w:rsidRDefault="009040BB" w:rsidP="0082094D">
            <w:pPr>
              <w:pStyle w:val="ListParagraph"/>
              <w:numPr>
                <w:ilvl w:val="0"/>
                <w:numId w:val="1"/>
              </w:numPr>
              <w:spacing w:line="240" w:lineRule="auto"/>
              <w:ind w:left="175" w:hanging="175"/>
              <w:rPr>
                <w:rFonts w:ascii="Arial" w:hAnsi="Arial" w:cs="Arial"/>
                <w:sz w:val="24"/>
                <w:szCs w:val="24"/>
              </w:rPr>
            </w:pPr>
            <w:r w:rsidRPr="00F944F6">
              <w:rPr>
                <w:rFonts w:ascii="Arial" w:hAnsi="Arial" w:cs="Arial"/>
                <w:sz w:val="24"/>
                <w:szCs w:val="24"/>
                <w:lang w:val="en-GB"/>
              </w:rPr>
              <w:t xml:space="preserve">Annualised relapse rate; </w:t>
            </w:r>
          </w:p>
          <w:p w:rsidR="009040BB" w:rsidRPr="00F944F6" w:rsidRDefault="009040BB" w:rsidP="0082094D">
            <w:pPr>
              <w:pStyle w:val="ListParagraph"/>
              <w:numPr>
                <w:ilvl w:val="0"/>
                <w:numId w:val="1"/>
              </w:numPr>
              <w:spacing w:line="240" w:lineRule="auto"/>
              <w:ind w:left="175" w:hanging="175"/>
              <w:rPr>
                <w:rFonts w:ascii="Arial" w:hAnsi="Arial" w:cs="Arial"/>
                <w:sz w:val="24"/>
                <w:szCs w:val="24"/>
                <w:lang w:val="en-US"/>
              </w:rPr>
            </w:pPr>
            <w:r w:rsidRPr="00F944F6">
              <w:rPr>
                <w:rFonts w:ascii="Arial" w:hAnsi="Arial" w:cs="Arial"/>
                <w:sz w:val="24"/>
                <w:szCs w:val="24"/>
                <w:lang w:val="en-GB"/>
              </w:rPr>
              <w:t xml:space="preserve">Absolute number of new gadolinium-positive T1 lesions in serial brain MRIs at weeks 12, 16, 20, 24; and </w:t>
            </w:r>
          </w:p>
          <w:p w:rsidR="009040BB" w:rsidRPr="00F944F6" w:rsidRDefault="009040BB" w:rsidP="0082094D">
            <w:pPr>
              <w:pStyle w:val="ListParagraph"/>
              <w:numPr>
                <w:ilvl w:val="0"/>
                <w:numId w:val="1"/>
              </w:numPr>
              <w:spacing w:line="240" w:lineRule="auto"/>
              <w:ind w:left="175" w:hanging="175"/>
              <w:rPr>
                <w:rFonts w:ascii="Arial" w:hAnsi="Arial" w:cs="Arial"/>
                <w:sz w:val="24"/>
                <w:szCs w:val="24"/>
                <w:lang w:val="en-US"/>
              </w:rPr>
            </w:pPr>
            <w:r w:rsidRPr="00F944F6">
              <w:rPr>
                <w:rFonts w:ascii="Arial" w:hAnsi="Arial" w:cs="Arial"/>
                <w:sz w:val="24"/>
                <w:szCs w:val="24"/>
                <w:lang w:val="en-GB"/>
              </w:rPr>
              <w:t>changes in T2 lesion volume compared to baseline:</w:t>
            </w:r>
          </w:p>
          <w:p w:rsidR="009040BB" w:rsidRPr="00F944F6" w:rsidRDefault="009040BB" w:rsidP="0082094D">
            <w:pPr>
              <w:pStyle w:val="ListParagraph"/>
              <w:numPr>
                <w:ilvl w:val="0"/>
                <w:numId w:val="2"/>
              </w:numPr>
              <w:spacing w:line="240" w:lineRule="auto"/>
              <w:ind w:left="317" w:hanging="317"/>
              <w:rPr>
                <w:rFonts w:ascii="Arial" w:hAnsi="Arial" w:cs="Arial"/>
                <w:i/>
                <w:sz w:val="24"/>
                <w:szCs w:val="24"/>
                <w:lang w:val="en-US"/>
              </w:rPr>
            </w:pPr>
            <w:r w:rsidRPr="00F944F6">
              <w:rPr>
                <w:rFonts w:ascii="Arial" w:hAnsi="Arial" w:cs="Arial"/>
                <w:i/>
                <w:iCs/>
                <w:sz w:val="24"/>
                <w:szCs w:val="24"/>
                <w:lang w:val="en-GB"/>
              </w:rPr>
              <w:t>Rituximab is more effective than placebo</w:t>
            </w:r>
          </w:p>
        </w:tc>
      </w:tr>
      <w:tr w:rsidR="009040BB" w:rsidRPr="00F944F6" w:rsidTr="0082094D">
        <w:trPr>
          <w:trHeight w:val="1814"/>
        </w:trPr>
        <w:tc>
          <w:tcPr>
            <w:tcW w:w="3150" w:type="dxa"/>
            <w:tcBorders>
              <w:top w:val="single" w:sz="4" w:space="0" w:color="auto"/>
              <w:left w:val="nil"/>
              <w:bottom w:val="nil"/>
              <w:right w:val="single" w:sz="4" w:space="0" w:color="auto"/>
            </w:tcBorders>
            <w:hideMark/>
          </w:tcPr>
          <w:p w:rsidR="009040BB" w:rsidRPr="00F944F6" w:rsidRDefault="009040BB" w:rsidP="0082094D">
            <w:pPr>
              <w:rPr>
                <w:rFonts w:ascii="Arial" w:hAnsi="Arial" w:cs="Arial"/>
                <w:sz w:val="24"/>
                <w:szCs w:val="24"/>
                <w:lang w:val="fr-FR"/>
              </w:rPr>
            </w:pPr>
            <w:r w:rsidRPr="00F944F6">
              <w:rPr>
                <w:rFonts w:ascii="Arial" w:hAnsi="Arial" w:cs="Arial"/>
                <w:sz w:val="24"/>
                <w:szCs w:val="24"/>
                <w:lang w:val="fr-FR"/>
              </w:rPr>
              <w:t>Phase 2/3 PPMS</w:t>
            </w:r>
          </w:p>
          <w:p w:rsidR="009040BB" w:rsidRPr="00F944F6" w:rsidRDefault="009040BB" w:rsidP="0082094D">
            <w:pPr>
              <w:rPr>
                <w:rFonts w:ascii="Arial" w:hAnsi="Arial" w:cs="Arial"/>
                <w:sz w:val="24"/>
                <w:szCs w:val="24"/>
                <w:lang w:val="fr-FR"/>
              </w:rPr>
            </w:pPr>
            <w:proofErr w:type="spellStart"/>
            <w:r w:rsidRPr="00F944F6">
              <w:rPr>
                <w:rFonts w:ascii="Arial" w:hAnsi="Arial" w:cs="Arial"/>
                <w:sz w:val="24"/>
                <w:szCs w:val="24"/>
                <w:lang w:val="fr-FR"/>
              </w:rPr>
              <w:t>Hawker</w:t>
            </w:r>
            <w:proofErr w:type="spellEnd"/>
            <w:r w:rsidRPr="00F944F6">
              <w:rPr>
                <w:rFonts w:ascii="Arial" w:hAnsi="Arial" w:cs="Arial"/>
                <w:sz w:val="24"/>
                <w:szCs w:val="24"/>
                <w:lang w:val="fr-FR"/>
              </w:rPr>
              <w:t xml:space="preserve"> et al. 2009</w:t>
            </w:r>
          </w:p>
          <w:p w:rsidR="009040BB" w:rsidRPr="00F944F6" w:rsidRDefault="009040BB" w:rsidP="0082094D">
            <w:pPr>
              <w:rPr>
                <w:rFonts w:ascii="Arial" w:hAnsi="Arial" w:cs="Arial"/>
                <w:sz w:val="24"/>
                <w:szCs w:val="24"/>
              </w:rPr>
            </w:pPr>
            <w:r w:rsidRPr="00F944F6">
              <w:rPr>
                <w:rFonts w:ascii="Arial" w:hAnsi="Arial" w:cs="Arial"/>
                <w:sz w:val="24"/>
                <w:szCs w:val="24"/>
              </w:rPr>
              <w:t>Ann. Neurol .</w:t>
            </w:r>
          </w:p>
          <w:p w:rsidR="009040BB" w:rsidRPr="00F944F6" w:rsidRDefault="009040BB" w:rsidP="0082094D">
            <w:pPr>
              <w:rPr>
                <w:rFonts w:ascii="Arial" w:hAnsi="Arial" w:cs="Arial"/>
                <w:sz w:val="24"/>
                <w:szCs w:val="24"/>
              </w:rPr>
            </w:pPr>
            <w:r w:rsidRPr="00F944F6">
              <w:rPr>
                <w:rFonts w:ascii="Arial" w:hAnsi="Arial" w:cs="Arial"/>
                <w:sz w:val="24"/>
                <w:szCs w:val="24"/>
                <w:lang w:val="en-GB"/>
              </w:rPr>
              <w:t>(OLYMPUS)</w:t>
            </w:r>
          </w:p>
          <w:p w:rsidR="009040BB" w:rsidRPr="00F944F6" w:rsidRDefault="009040BB" w:rsidP="0082094D">
            <w:pPr>
              <w:rPr>
                <w:rFonts w:ascii="Arial" w:hAnsi="Arial" w:cs="Arial"/>
                <w:sz w:val="24"/>
                <w:szCs w:val="24"/>
              </w:rPr>
            </w:pPr>
            <w:r w:rsidRPr="00F944F6">
              <w:rPr>
                <w:rFonts w:ascii="Arial" w:hAnsi="Arial" w:cs="Arial"/>
                <w:sz w:val="24"/>
                <w:szCs w:val="24"/>
                <w:lang w:val="en-GB"/>
              </w:rPr>
              <w:t>n=439 patients</w:t>
            </w:r>
          </w:p>
          <w:p w:rsidR="009040BB" w:rsidRPr="00F944F6" w:rsidRDefault="009040BB" w:rsidP="0082094D">
            <w:pPr>
              <w:rPr>
                <w:rFonts w:ascii="Arial" w:hAnsi="Arial" w:cs="Arial"/>
                <w:sz w:val="24"/>
                <w:szCs w:val="24"/>
              </w:rPr>
            </w:pPr>
          </w:p>
        </w:tc>
        <w:tc>
          <w:tcPr>
            <w:tcW w:w="4613" w:type="dxa"/>
            <w:tcBorders>
              <w:top w:val="single" w:sz="4" w:space="0" w:color="auto"/>
              <w:left w:val="single" w:sz="4" w:space="0" w:color="auto"/>
              <w:bottom w:val="nil"/>
              <w:right w:val="single" w:sz="4" w:space="0" w:color="auto"/>
            </w:tcBorders>
            <w:hideMark/>
          </w:tcPr>
          <w:p w:rsidR="009040BB" w:rsidRPr="00F944F6" w:rsidRDefault="009040BB" w:rsidP="0082094D">
            <w:pPr>
              <w:pStyle w:val="ListParagraph"/>
              <w:numPr>
                <w:ilvl w:val="0"/>
                <w:numId w:val="3"/>
              </w:numPr>
              <w:spacing w:line="240" w:lineRule="auto"/>
              <w:ind w:left="175" w:hanging="175"/>
              <w:rPr>
                <w:rFonts w:ascii="Arial" w:hAnsi="Arial" w:cs="Arial"/>
                <w:sz w:val="24"/>
                <w:szCs w:val="24"/>
                <w:lang w:val="en-US"/>
              </w:rPr>
            </w:pPr>
            <w:r w:rsidRPr="00F944F6">
              <w:rPr>
                <w:rFonts w:ascii="Arial" w:hAnsi="Arial" w:cs="Arial"/>
                <w:sz w:val="24"/>
                <w:szCs w:val="24"/>
                <w:lang w:val="en-GB"/>
              </w:rPr>
              <w:t xml:space="preserve">Time until onset of CDP, </w:t>
            </w:r>
          </w:p>
          <w:p w:rsidR="009040BB" w:rsidRPr="00F944F6" w:rsidRDefault="009040BB" w:rsidP="0082094D">
            <w:pPr>
              <w:pStyle w:val="ListParagraph"/>
              <w:numPr>
                <w:ilvl w:val="0"/>
                <w:numId w:val="4"/>
              </w:numPr>
              <w:spacing w:line="240" w:lineRule="auto"/>
              <w:ind w:left="176" w:hanging="176"/>
              <w:rPr>
                <w:rFonts w:ascii="Arial" w:hAnsi="Arial" w:cs="Arial"/>
                <w:sz w:val="24"/>
                <w:szCs w:val="24"/>
                <w:lang w:val="en-US"/>
              </w:rPr>
            </w:pPr>
            <w:r w:rsidRPr="00F944F6">
              <w:rPr>
                <w:rFonts w:ascii="Arial" w:hAnsi="Arial" w:cs="Arial"/>
                <w:sz w:val="24"/>
                <w:szCs w:val="24"/>
                <w:lang w:val="en-GB"/>
              </w:rPr>
              <w:t xml:space="preserve">Percentage of patients with CDP: </w:t>
            </w:r>
          </w:p>
          <w:p w:rsidR="009040BB" w:rsidRPr="00F944F6" w:rsidRDefault="009040BB" w:rsidP="0082094D">
            <w:pPr>
              <w:pStyle w:val="ListParagraph"/>
              <w:numPr>
                <w:ilvl w:val="0"/>
                <w:numId w:val="2"/>
              </w:numPr>
              <w:spacing w:line="240" w:lineRule="auto"/>
              <w:ind w:left="318" w:hanging="318"/>
              <w:rPr>
                <w:rFonts w:ascii="Arial" w:hAnsi="Arial" w:cs="Arial"/>
                <w:i/>
                <w:sz w:val="24"/>
                <w:szCs w:val="24"/>
                <w:lang w:val="en-US"/>
              </w:rPr>
            </w:pPr>
            <w:r w:rsidRPr="00F944F6">
              <w:rPr>
                <w:rFonts w:ascii="Arial" w:hAnsi="Arial" w:cs="Arial"/>
                <w:i/>
                <w:iCs/>
                <w:sz w:val="24"/>
                <w:szCs w:val="24"/>
                <w:lang w:val="en-GB"/>
              </w:rPr>
              <w:t>No evidence of any significant difference</w:t>
            </w:r>
          </w:p>
        </w:tc>
        <w:tc>
          <w:tcPr>
            <w:tcW w:w="6403" w:type="dxa"/>
            <w:tcBorders>
              <w:top w:val="single" w:sz="4" w:space="0" w:color="auto"/>
              <w:left w:val="single" w:sz="4" w:space="0" w:color="auto"/>
              <w:bottom w:val="nil"/>
              <w:right w:val="nil"/>
            </w:tcBorders>
            <w:hideMark/>
          </w:tcPr>
          <w:p w:rsidR="009040BB" w:rsidRPr="00F944F6" w:rsidRDefault="009040BB" w:rsidP="0082094D">
            <w:pPr>
              <w:pStyle w:val="ListParagraph"/>
              <w:numPr>
                <w:ilvl w:val="0"/>
                <w:numId w:val="5"/>
              </w:numPr>
              <w:spacing w:line="240" w:lineRule="auto"/>
              <w:ind w:left="175" w:hanging="175"/>
              <w:rPr>
                <w:rFonts w:ascii="Arial" w:hAnsi="Arial" w:cs="Arial"/>
                <w:sz w:val="24"/>
                <w:szCs w:val="24"/>
                <w:lang w:val="en-US"/>
              </w:rPr>
            </w:pPr>
            <w:r w:rsidRPr="00F944F6">
              <w:rPr>
                <w:rFonts w:ascii="Arial" w:hAnsi="Arial" w:cs="Arial"/>
                <w:sz w:val="24"/>
                <w:szCs w:val="24"/>
                <w:lang w:val="en-GB"/>
              </w:rPr>
              <w:t xml:space="preserve">Change in absolute T2 lesion volume at week 96 compared to baseline, </w:t>
            </w:r>
          </w:p>
          <w:p w:rsidR="009040BB" w:rsidRPr="00F944F6" w:rsidRDefault="009040BB" w:rsidP="0082094D">
            <w:pPr>
              <w:pStyle w:val="ListParagraph"/>
              <w:numPr>
                <w:ilvl w:val="0"/>
                <w:numId w:val="5"/>
              </w:numPr>
              <w:spacing w:line="240" w:lineRule="auto"/>
              <w:ind w:left="175" w:hanging="175"/>
              <w:rPr>
                <w:rFonts w:ascii="Arial" w:hAnsi="Arial" w:cs="Arial"/>
                <w:sz w:val="24"/>
                <w:szCs w:val="24"/>
                <w:lang w:val="en-US"/>
              </w:rPr>
            </w:pPr>
            <w:r w:rsidRPr="00F944F6">
              <w:rPr>
                <w:rFonts w:ascii="Arial" w:hAnsi="Arial" w:cs="Arial"/>
                <w:sz w:val="24"/>
                <w:szCs w:val="24"/>
                <w:lang w:val="en-GB"/>
              </w:rPr>
              <w:t xml:space="preserve">Change in brain volume at week 96 compared to baseline: </w:t>
            </w:r>
          </w:p>
          <w:p w:rsidR="009040BB" w:rsidRPr="00F944F6" w:rsidRDefault="009040BB" w:rsidP="0082094D">
            <w:pPr>
              <w:pStyle w:val="ListParagraph"/>
              <w:numPr>
                <w:ilvl w:val="0"/>
                <w:numId w:val="2"/>
              </w:numPr>
              <w:spacing w:line="240" w:lineRule="auto"/>
              <w:ind w:left="317" w:hanging="317"/>
              <w:rPr>
                <w:rFonts w:ascii="Arial" w:hAnsi="Arial" w:cs="Arial"/>
                <w:i/>
                <w:sz w:val="24"/>
                <w:szCs w:val="24"/>
                <w:lang w:val="en-US"/>
              </w:rPr>
            </w:pPr>
            <w:r w:rsidRPr="00F944F6">
              <w:rPr>
                <w:rFonts w:ascii="Arial" w:hAnsi="Arial" w:cs="Arial"/>
                <w:i/>
                <w:iCs/>
                <w:sz w:val="24"/>
                <w:szCs w:val="24"/>
                <w:lang w:val="en-GB"/>
              </w:rPr>
              <w:t>Patients who received rituximab had a significantly lower increase in T2 lesion volume</w:t>
            </w:r>
          </w:p>
        </w:tc>
      </w:tr>
    </w:tbl>
    <w:p w:rsidR="009040BB" w:rsidRPr="00F944F6" w:rsidRDefault="009040BB" w:rsidP="009040BB">
      <w:pPr>
        <w:rPr>
          <w:rFonts w:ascii="Arial" w:hAnsi="Arial" w:cs="Arial"/>
          <w:sz w:val="2"/>
          <w:szCs w:val="24"/>
        </w:rPr>
      </w:pPr>
    </w:p>
    <w:p w:rsidR="009040BB" w:rsidRPr="00F944F6" w:rsidRDefault="009040BB" w:rsidP="009040BB">
      <w:pPr>
        <w:rPr>
          <w:rFonts w:ascii="Arial" w:hAnsi="Arial" w:cs="Arial"/>
          <w:sz w:val="24"/>
          <w:szCs w:val="24"/>
        </w:rPr>
      </w:pPr>
    </w:p>
    <w:p w:rsidR="009040BB" w:rsidRPr="00F944F6" w:rsidRDefault="009040BB" w:rsidP="009040BB">
      <w:pPr>
        <w:rPr>
          <w:rFonts w:ascii="Arial" w:hAnsi="Arial" w:cs="Arial"/>
          <w:sz w:val="2"/>
          <w:szCs w:val="16"/>
        </w:rPr>
      </w:pPr>
      <w:r w:rsidRPr="00F944F6">
        <w:rPr>
          <w:rFonts w:ascii="Arial" w:hAnsi="Arial" w:cs="Arial"/>
          <w:sz w:val="24"/>
          <w:szCs w:val="24"/>
          <w:lang w:val="en-GB"/>
        </w:rPr>
        <w:t>MRI = Magnetic Resonance Imaging, CDP = Confirmed Disability Progression, CDI = Confirmed Disability Improvement.</w:t>
      </w:r>
    </w:p>
    <w:p w:rsidR="009040BB" w:rsidRPr="00F944F6" w:rsidRDefault="009040BB" w:rsidP="009040BB">
      <w:pPr>
        <w:rPr>
          <w:rFonts w:ascii="Arial" w:hAnsi="Arial" w:cs="Arial"/>
          <w:sz w:val="24"/>
          <w:szCs w:val="24"/>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b/>
          <w:sz w:val="24"/>
          <w:szCs w:val="24"/>
          <w:lang w:val="en-GB"/>
        </w:rPr>
      </w:pPr>
      <w:r w:rsidRPr="00F944F6">
        <w:rPr>
          <w:rFonts w:ascii="Arial" w:hAnsi="Arial" w:cs="Arial"/>
          <w:b/>
          <w:bCs/>
          <w:sz w:val="24"/>
          <w:szCs w:val="24"/>
          <w:lang w:val="en-GB"/>
        </w:rPr>
        <w:lastRenderedPageBreak/>
        <w:t xml:space="preserve">Suppl. Table 2:  </w:t>
      </w:r>
      <w:r w:rsidRPr="00F944F6">
        <w:rPr>
          <w:rFonts w:ascii="Arial" w:hAnsi="Arial" w:cs="Arial"/>
          <w:sz w:val="24"/>
          <w:szCs w:val="24"/>
          <w:lang w:val="en-GB"/>
        </w:rPr>
        <w:t xml:space="preserve">Indications for the use of </w:t>
      </w:r>
      <w:r w:rsidRPr="00F944F6">
        <w:rPr>
          <w:rFonts w:ascii="Arial" w:hAnsi="Arial" w:cs="Arial"/>
          <w:b/>
          <w:sz w:val="24"/>
          <w:szCs w:val="24"/>
          <w:lang w:val="en-GB"/>
        </w:rPr>
        <w:t>ocrelizumab / ofatumumab</w:t>
      </w:r>
    </w:p>
    <w:p w:rsidR="009040BB" w:rsidRPr="00F944F6" w:rsidRDefault="009040BB" w:rsidP="009040BB">
      <w:pPr>
        <w:rPr>
          <w:rFonts w:ascii="Arial" w:hAnsi="Arial" w:cs="Arial"/>
          <w:sz w:val="24"/>
          <w:szCs w:val="24"/>
        </w:rPr>
      </w:pP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Style w:val="Hyperlink"/>
          <w:u w:val="none"/>
        </w:rPr>
      </w:pPr>
      <w:r w:rsidRPr="00F944F6">
        <w:rPr>
          <w:rFonts w:ascii="Arial" w:hAnsi="Arial" w:cs="Arial"/>
          <w:b/>
          <w:sz w:val="24"/>
          <w:szCs w:val="24"/>
          <w:lang w:val="en-GB"/>
        </w:rPr>
        <w:t xml:space="preserve">As defined by EMA      </w:t>
      </w:r>
      <w:r w:rsidRPr="00F944F6">
        <w:rPr>
          <w:rStyle w:val="Hyperlink"/>
          <w:u w:val="none"/>
        </w:rPr>
        <w:t>https://www.ema.europa.eu/en/medicines</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944F6">
        <w:rPr>
          <w:rFonts w:ascii="Arial" w:hAnsi="Arial" w:cs="Arial"/>
          <w:sz w:val="24"/>
          <w:szCs w:val="24"/>
          <w:lang w:val="en-GB"/>
        </w:rPr>
        <w:t xml:space="preserve">Ocrelizumab is indicated for the treatment of adult patients with relapsing forms of multiple sclerosis (RMS) with active disease as defined by clinical findings or by imaging. </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n-GB"/>
        </w:rPr>
      </w:pPr>
      <w:r w:rsidRPr="00F944F6">
        <w:rPr>
          <w:rFonts w:ascii="Arial" w:hAnsi="Arial" w:cs="Arial"/>
          <w:sz w:val="24"/>
          <w:szCs w:val="24"/>
          <w:lang w:val="en-GB"/>
        </w:rPr>
        <w:t>Ocrelizumab is indicated for the treatment of adult patients with early primary progressive multiple sclerosis (PPMS), as characterised by disease duration and degree of disability, as well as by imaging features indicative of inflammatory activity.</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n-GB"/>
        </w:rPr>
      </w:pPr>
      <w:r w:rsidRPr="00F944F6">
        <w:rPr>
          <w:rFonts w:ascii="Arial" w:hAnsi="Arial" w:cs="Arial"/>
          <w:sz w:val="24"/>
          <w:szCs w:val="24"/>
          <w:lang w:val="en-GB"/>
        </w:rPr>
        <w:t>Ofatumumab is not yet approved</w:t>
      </w:r>
    </w:p>
    <w:p w:rsidR="009040BB" w:rsidRPr="00F944F6" w:rsidRDefault="009040BB" w:rsidP="009040BB">
      <w:pPr>
        <w:pBdr>
          <w:top w:val="single" w:sz="4" w:space="1" w:color="auto"/>
          <w:left w:val="single" w:sz="4" w:space="4" w:color="auto"/>
          <w:bottom w:val="single" w:sz="4" w:space="1" w:color="auto"/>
          <w:right w:val="single" w:sz="4" w:space="4" w:color="auto"/>
        </w:pBdr>
      </w:pPr>
      <w:r w:rsidRPr="00F944F6">
        <w:rPr>
          <w:rFonts w:ascii="Arial" w:hAnsi="Arial" w:cs="Arial"/>
          <w:b/>
          <w:sz w:val="24"/>
          <w:szCs w:val="24"/>
          <w:lang w:val="en-GB"/>
        </w:rPr>
        <w:t xml:space="preserve">As defined by the FDA      </w:t>
      </w:r>
      <w:hyperlink r:id="rId5" w:history="1">
        <w:r w:rsidRPr="00F944F6">
          <w:rPr>
            <w:rStyle w:val="Hyperlink"/>
            <w:u w:val="none"/>
          </w:rPr>
          <w:t>www.accessdata.fda.gov/drugsatfda_docs</w:t>
        </w:r>
      </w:hyperlink>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944F6">
        <w:rPr>
          <w:rFonts w:ascii="Arial" w:hAnsi="Arial" w:cs="Arial"/>
          <w:sz w:val="24"/>
          <w:szCs w:val="24"/>
          <w:lang w:val="en-GB"/>
        </w:rPr>
        <w:t xml:space="preserve">Ocrelizumab is indicated for the treatment of adult patients with relapsing forms of multiple </w:t>
      </w:r>
      <w:proofErr w:type="gramStart"/>
      <w:r w:rsidRPr="00F944F6">
        <w:rPr>
          <w:rFonts w:ascii="Arial" w:hAnsi="Arial" w:cs="Arial"/>
          <w:sz w:val="24"/>
          <w:szCs w:val="24"/>
          <w:lang w:val="en-GB"/>
        </w:rPr>
        <w:t>sclerosis</w:t>
      </w:r>
      <w:r w:rsidRPr="00F944F6">
        <w:rPr>
          <w:rFonts w:ascii="Arial" w:hAnsi="Arial" w:cs="Arial"/>
        </w:rPr>
        <w:t xml:space="preserve">  </w:t>
      </w:r>
      <w:r w:rsidRPr="00F944F6">
        <w:rPr>
          <w:rFonts w:ascii="Arial" w:hAnsi="Arial" w:cs="Arial"/>
          <w:sz w:val="24"/>
          <w:szCs w:val="24"/>
        </w:rPr>
        <w:t>(</w:t>
      </w:r>
      <w:proofErr w:type="gramEnd"/>
      <w:r w:rsidRPr="00F944F6">
        <w:rPr>
          <w:rFonts w:ascii="Arial" w:hAnsi="Arial" w:cs="Arial"/>
          <w:sz w:val="24"/>
          <w:szCs w:val="24"/>
        </w:rPr>
        <w:t>and primary progressive multiple sclerosis (PPMS).</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944F6">
        <w:rPr>
          <w:rFonts w:ascii="Arial" w:hAnsi="Arial" w:cs="Arial"/>
          <w:sz w:val="24"/>
          <w:szCs w:val="24"/>
        </w:rPr>
        <w:t>Ofatumumab is indicated for the treatment of adult patients with relapsing forms of MS (CIS, RRMS, active secondary progressive MS).</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p>
    <w:p w:rsidR="009040BB" w:rsidRPr="00F944F6" w:rsidRDefault="009040BB" w:rsidP="009040BB">
      <w:pPr>
        <w:pBdr>
          <w:top w:val="single" w:sz="4" w:space="1" w:color="auto"/>
          <w:left w:val="single" w:sz="4" w:space="4" w:color="auto"/>
          <w:bottom w:val="single" w:sz="4" w:space="1" w:color="auto"/>
          <w:right w:val="single" w:sz="4" w:space="4" w:color="auto"/>
        </w:pBdr>
      </w:pPr>
      <w:r w:rsidRPr="00F944F6">
        <w:rPr>
          <w:rFonts w:ascii="Arial" w:hAnsi="Arial" w:cs="Arial"/>
          <w:b/>
          <w:sz w:val="24"/>
          <w:szCs w:val="24"/>
        </w:rPr>
        <w:t xml:space="preserve">As defined by Health Canada       </w:t>
      </w:r>
      <w:hyperlink r:id="rId6" w:history="1">
        <w:r w:rsidRPr="00F944F6">
          <w:rPr>
            <w:rStyle w:val="Hyperlink"/>
            <w:u w:val="none"/>
          </w:rPr>
          <w:t>www.canada.ca/en/services/health/drug-health-products</w:t>
        </w:r>
      </w:hyperlink>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944F6">
        <w:rPr>
          <w:rFonts w:ascii="Arial" w:hAnsi="Arial" w:cs="Arial"/>
          <w:sz w:val="24"/>
          <w:szCs w:val="24"/>
          <w:lang w:val="en-GB"/>
        </w:rPr>
        <w:t xml:space="preserve">Ocrelizumab is indicated for the treatment of adult patients with relapsing </w:t>
      </w:r>
      <w:proofErr w:type="gramStart"/>
      <w:r w:rsidRPr="00F944F6">
        <w:rPr>
          <w:rFonts w:ascii="Arial" w:hAnsi="Arial" w:cs="Arial"/>
          <w:sz w:val="24"/>
          <w:szCs w:val="24"/>
          <w:lang w:val="en-GB"/>
        </w:rPr>
        <w:t>remitting  multiple</w:t>
      </w:r>
      <w:proofErr w:type="gramEnd"/>
      <w:r w:rsidRPr="00F944F6">
        <w:rPr>
          <w:rFonts w:ascii="Arial" w:hAnsi="Arial" w:cs="Arial"/>
          <w:sz w:val="24"/>
          <w:szCs w:val="24"/>
          <w:lang w:val="en-GB"/>
        </w:rPr>
        <w:t xml:space="preserve"> sclerosis</w:t>
      </w:r>
      <w:r w:rsidRPr="00F944F6">
        <w:rPr>
          <w:rFonts w:ascii="Arial" w:hAnsi="Arial" w:cs="Arial"/>
        </w:rPr>
        <w:t xml:space="preserve">  </w:t>
      </w:r>
      <w:r w:rsidRPr="00F944F6">
        <w:rPr>
          <w:rFonts w:ascii="Arial" w:hAnsi="Arial" w:cs="Arial"/>
          <w:sz w:val="24"/>
          <w:szCs w:val="24"/>
        </w:rPr>
        <w:t>(RRMS) with active disease defined by clinical and imaging features.</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n-GB"/>
        </w:rPr>
      </w:pPr>
      <w:r w:rsidRPr="00F944F6">
        <w:rPr>
          <w:rFonts w:ascii="Arial" w:hAnsi="Arial" w:cs="Arial"/>
          <w:sz w:val="24"/>
          <w:szCs w:val="24"/>
          <w:lang w:val="en-GB"/>
        </w:rPr>
        <w:t>Ocrelizumab is indicated for the treatment of adult patients with early primary progressive multiple sclerosis (PPMS), as defined by disease duration and level of disability, in conjunction with imaging features characteristic of inflammatory activity.</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n-GB"/>
        </w:rPr>
      </w:pPr>
      <w:r w:rsidRPr="00F944F6">
        <w:rPr>
          <w:rFonts w:ascii="Arial" w:hAnsi="Arial" w:cs="Arial"/>
          <w:sz w:val="24"/>
          <w:szCs w:val="24"/>
          <w:lang w:val="en-GB"/>
        </w:rPr>
        <w:lastRenderedPageBreak/>
        <w:t>Ofatumumab is not yet approved.</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rsidR="009040BB" w:rsidRPr="00F944F6" w:rsidRDefault="009040BB" w:rsidP="009040BB">
      <w:pPr>
        <w:pBdr>
          <w:top w:val="single" w:sz="4" w:space="1" w:color="auto"/>
          <w:left w:val="single" w:sz="4" w:space="4" w:color="auto"/>
          <w:bottom w:val="single" w:sz="4" w:space="1" w:color="auto"/>
          <w:right w:val="single" w:sz="4" w:space="4" w:color="auto"/>
        </w:pBdr>
      </w:pPr>
      <w:r w:rsidRPr="00F944F6">
        <w:rPr>
          <w:rFonts w:ascii="Arial" w:hAnsi="Arial" w:cs="Arial"/>
          <w:b/>
          <w:sz w:val="24"/>
          <w:szCs w:val="24"/>
        </w:rPr>
        <w:t xml:space="preserve">As defined by </w:t>
      </w:r>
      <w:r w:rsidRPr="00F944F6">
        <w:rPr>
          <w:rFonts w:ascii="Arial" w:hAnsi="Arial" w:cs="Arial"/>
          <w:b/>
          <w:sz w:val="24"/>
        </w:rPr>
        <w:t>Australian Therapeutic Goods Administration (TGA)</w:t>
      </w:r>
      <w:r w:rsidRPr="00F944F6">
        <w:t xml:space="preserve"> www.ebs.tga.gov.au/ebs/picmi/picmirepository.nsf/PICMI?OpenForm&amp;t=&amp;q=ocrelizumab</w:t>
      </w:r>
    </w:p>
    <w:p w:rsidR="009040BB" w:rsidRPr="00F944F6" w:rsidRDefault="009040BB" w:rsidP="009040BB">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lang w:val="en-US"/>
        </w:rPr>
      </w:pPr>
      <w:r w:rsidRPr="00F944F6">
        <w:rPr>
          <w:rFonts w:ascii="Arial" w:hAnsi="Arial" w:cs="Arial"/>
          <w:lang w:val="en-US"/>
        </w:rPr>
        <w:t xml:space="preserve">Ocrelizumab is indicated for the treatment of patients with relapsing forms of multiple sclerosis (RMS) to delay the progression of physical disability and to reduce the frequency of relapse. </w:t>
      </w:r>
    </w:p>
    <w:p w:rsidR="009040BB" w:rsidRPr="00F944F6" w:rsidRDefault="009040BB" w:rsidP="009040BB">
      <w:pPr>
        <w:pStyle w:val="Default"/>
        <w:pBdr>
          <w:top w:val="single" w:sz="4" w:space="1" w:color="auto"/>
          <w:left w:val="single" w:sz="4" w:space="4" w:color="auto"/>
          <w:bottom w:val="single" w:sz="4" w:space="1" w:color="auto"/>
          <w:right w:val="single" w:sz="4" w:space="4" w:color="auto"/>
        </w:pBdr>
        <w:spacing w:line="360" w:lineRule="auto"/>
        <w:jc w:val="both"/>
        <w:rPr>
          <w:rFonts w:ascii="Arial" w:hAnsi="Arial" w:cs="Arial"/>
          <w:lang w:val="en-US"/>
        </w:rPr>
      </w:pP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rPr>
      </w:pPr>
      <w:r w:rsidRPr="00F944F6">
        <w:rPr>
          <w:rFonts w:ascii="Arial" w:hAnsi="Arial" w:cs="Arial"/>
          <w:sz w:val="24"/>
          <w:szCs w:val="24"/>
        </w:rPr>
        <w:t>Ocrelizumab is indicated for the treatment of patients with primary progressive multiple sclerosis (PPMS) to delay the progression of physical disability.</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sz w:val="24"/>
          <w:szCs w:val="24"/>
          <w:lang w:val="en-GB"/>
        </w:rPr>
      </w:pPr>
      <w:r w:rsidRPr="00F944F6">
        <w:rPr>
          <w:rFonts w:ascii="Arial" w:hAnsi="Arial" w:cs="Arial"/>
          <w:sz w:val="24"/>
          <w:szCs w:val="24"/>
          <w:lang w:val="en-GB"/>
        </w:rPr>
        <w:t>Ofatumumab is not yet approved.</w:t>
      </w:r>
    </w:p>
    <w:p w:rsidR="009040BB" w:rsidRPr="00F944F6" w:rsidRDefault="009040BB" w:rsidP="009040B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tabs>
          <w:tab w:val="left" w:pos="397"/>
        </w:tabs>
        <w:spacing w:after="0" w:line="480" w:lineRule="auto"/>
        <w:jc w:val="both"/>
        <w:rPr>
          <w:rFonts w:ascii="Arial" w:hAnsi="Arial" w:cs="Arial"/>
          <w:b/>
          <w:sz w:val="24"/>
          <w:szCs w:val="24"/>
          <w:lang w:val="en-GB"/>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b/>
          <w:bCs/>
          <w:sz w:val="24"/>
          <w:szCs w:val="24"/>
        </w:rPr>
      </w:pPr>
    </w:p>
    <w:p w:rsidR="009040BB" w:rsidRPr="00F944F6" w:rsidRDefault="009040BB" w:rsidP="009040BB">
      <w:pPr>
        <w:rPr>
          <w:rFonts w:ascii="Arial" w:hAnsi="Arial" w:cs="Arial"/>
          <w:sz w:val="24"/>
          <w:szCs w:val="24"/>
        </w:rPr>
      </w:pPr>
      <w:r w:rsidRPr="00F944F6">
        <w:rPr>
          <w:rFonts w:ascii="Arial" w:hAnsi="Arial" w:cs="Arial"/>
          <w:b/>
          <w:bCs/>
          <w:sz w:val="24"/>
          <w:szCs w:val="24"/>
        </w:rPr>
        <w:t>Suppl. Table 3</w:t>
      </w:r>
      <w:r w:rsidRPr="00F944F6">
        <w:rPr>
          <w:rFonts w:ascii="Arial" w:hAnsi="Arial" w:cs="Arial"/>
          <w:sz w:val="24"/>
          <w:szCs w:val="24"/>
        </w:rPr>
        <w:t xml:space="preserve">   Overview of oral Bruton`s tyrosine kinase inhibitors trials in multiple sclerosis (MS).</w:t>
      </w:r>
    </w:p>
    <w:p w:rsidR="009040BB" w:rsidRPr="00F944F6" w:rsidRDefault="009040BB" w:rsidP="009040BB">
      <w:pPr>
        <w:rPr>
          <w:rFonts w:ascii="Arial" w:hAnsi="Arial" w:cs="Arial"/>
          <w:sz w:val="24"/>
          <w:szCs w:val="24"/>
        </w:rPr>
      </w:pPr>
    </w:p>
    <w:tbl>
      <w:tblPr>
        <w:tblStyle w:val="TableGrid"/>
        <w:tblW w:w="15446" w:type="dxa"/>
        <w:tblLook w:val="04A0" w:firstRow="1" w:lastRow="0" w:firstColumn="1" w:lastColumn="0" w:noHBand="0" w:noVBand="1"/>
      </w:tblPr>
      <w:tblGrid>
        <w:gridCol w:w="2405"/>
        <w:gridCol w:w="3969"/>
        <w:gridCol w:w="2427"/>
        <w:gridCol w:w="8"/>
        <w:gridCol w:w="3519"/>
        <w:gridCol w:w="3118"/>
      </w:tblGrid>
      <w:tr w:rsidR="009040BB" w:rsidRPr="00F944F6" w:rsidTr="0082094D">
        <w:tc>
          <w:tcPr>
            <w:tcW w:w="2405" w:type="dxa"/>
            <w:vMerge w:val="restart"/>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Trial</w:t>
            </w:r>
          </w:p>
        </w:tc>
        <w:tc>
          <w:tcPr>
            <w:tcW w:w="6404" w:type="dxa"/>
            <w:gridSpan w:val="3"/>
          </w:tcPr>
          <w:p w:rsidR="009040BB" w:rsidRPr="00F944F6" w:rsidRDefault="009040BB" w:rsidP="0082094D">
            <w:pPr>
              <w:spacing w:line="259" w:lineRule="auto"/>
              <w:jc w:val="center"/>
              <w:rPr>
                <w:rFonts w:ascii="Arial" w:hAnsi="Arial" w:cs="Arial"/>
                <w:b/>
                <w:sz w:val="24"/>
                <w:szCs w:val="24"/>
                <w:lang w:val="en-US"/>
              </w:rPr>
            </w:pPr>
            <w:proofErr w:type="spellStart"/>
            <w:r w:rsidRPr="00F944F6">
              <w:rPr>
                <w:rFonts w:ascii="Arial" w:hAnsi="Arial" w:cs="Arial"/>
                <w:b/>
                <w:sz w:val="24"/>
                <w:szCs w:val="24"/>
                <w:lang w:val="en-US"/>
              </w:rPr>
              <w:t>Evobrutinib</w:t>
            </w:r>
            <w:proofErr w:type="spellEnd"/>
            <w:r w:rsidRPr="00F944F6">
              <w:rPr>
                <w:rFonts w:ascii="Arial" w:hAnsi="Arial" w:cs="Arial"/>
                <w:b/>
                <w:sz w:val="24"/>
                <w:szCs w:val="24"/>
                <w:lang w:val="en-US"/>
              </w:rPr>
              <w:t xml:space="preserve"> (M2951)</w:t>
            </w:r>
          </w:p>
        </w:tc>
        <w:tc>
          <w:tcPr>
            <w:tcW w:w="6637" w:type="dxa"/>
            <w:gridSpan w:val="2"/>
          </w:tcPr>
          <w:p w:rsidR="009040BB" w:rsidRPr="00F944F6" w:rsidRDefault="009040BB" w:rsidP="0082094D">
            <w:pPr>
              <w:spacing w:line="259" w:lineRule="auto"/>
              <w:jc w:val="center"/>
              <w:rPr>
                <w:rFonts w:ascii="Arial" w:hAnsi="Arial" w:cs="Arial"/>
                <w:b/>
                <w:sz w:val="24"/>
                <w:szCs w:val="24"/>
                <w:lang w:val="en-US"/>
              </w:rPr>
            </w:pPr>
            <w:r w:rsidRPr="00F944F6">
              <w:rPr>
                <w:rFonts w:ascii="Arial" w:hAnsi="Arial" w:cs="Arial"/>
                <w:b/>
                <w:sz w:val="24"/>
                <w:szCs w:val="24"/>
                <w:lang w:val="en-US"/>
              </w:rPr>
              <w:t>SAR442168</w:t>
            </w:r>
          </w:p>
        </w:tc>
      </w:tr>
      <w:tr w:rsidR="009040BB" w:rsidRPr="00F944F6" w:rsidTr="0082094D">
        <w:tc>
          <w:tcPr>
            <w:tcW w:w="2405" w:type="dxa"/>
            <w:vMerge/>
          </w:tcPr>
          <w:p w:rsidR="009040BB" w:rsidRPr="00F944F6" w:rsidRDefault="009040BB" w:rsidP="0082094D">
            <w:pPr>
              <w:spacing w:line="259" w:lineRule="auto"/>
              <w:jc w:val="center"/>
              <w:rPr>
                <w:rFonts w:ascii="Arial" w:hAnsi="Arial" w:cs="Arial"/>
                <w:sz w:val="24"/>
                <w:szCs w:val="24"/>
                <w:lang w:val="en-US"/>
              </w:rPr>
            </w:pPr>
          </w:p>
        </w:tc>
        <w:tc>
          <w:tcPr>
            <w:tcW w:w="3969" w:type="dxa"/>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Relapsing MS</w:t>
            </w:r>
          </w:p>
        </w:tc>
        <w:tc>
          <w:tcPr>
            <w:tcW w:w="2427" w:type="dxa"/>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Progressive MS</w:t>
            </w:r>
          </w:p>
        </w:tc>
        <w:tc>
          <w:tcPr>
            <w:tcW w:w="3527" w:type="dxa"/>
            <w:gridSpan w:val="2"/>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Relapsing MS</w:t>
            </w:r>
          </w:p>
        </w:tc>
        <w:tc>
          <w:tcPr>
            <w:tcW w:w="3118" w:type="dxa"/>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Progressive MS</w:t>
            </w:r>
          </w:p>
        </w:tc>
      </w:tr>
      <w:tr w:rsidR="009040BB" w:rsidRPr="00F944F6" w:rsidTr="0082094D">
        <w:tc>
          <w:tcPr>
            <w:tcW w:w="2405" w:type="dxa"/>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Phase 2</w:t>
            </w:r>
          </w:p>
        </w:tc>
        <w:tc>
          <w:tcPr>
            <w:tcW w:w="3969" w:type="dxa"/>
          </w:tcPr>
          <w:p w:rsidR="009040BB" w:rsidRPr="00F944F6" w:rsidRDefault="009040BB" w:rsidP="0082094D">
            <w:pPr>
              <w:spacing w:line="259" w:lineRule="auto"/>
              <w:rPr>
                <w:rFonts w:ascii="Arial" w:hAnsi="Arial" w:cs="Arial"/>
                <w:sz w:val="24"/>
                <w:szCs w:val="24"/>
                <w:lang w:val="en-US"/>
              </w:rPr>
            </w:pPr>
            <w:proofErr w:type="spellStart"/>
            <w:r w:rsidRPr="00F944F6">
              <w:rPr>
                <w:rFonts w:ascii="Arial" w:hAnsi="Arial" w:cs="Arial"/>
                <w:sz w:val="24"/>
                <w:szCs w:val="24"/>
                <w:lang w:val="en-US"/>
              </w:rPr>
              <w:t>Evobrutinib</w:t>
            </w:r>
            <w:proofErr w:type="spellEnd"/>
            <w:r w:rsidRPr="00F944F6">
              <w:rPr>
                <w:rFonts w:ascii="Arial" w:hAnsi="Arial" w:cs="Arial"/>
                <w:sz w:val="24"/>
                <w:szCs w:val="24"/>
                <w:lang w:val="en-US"/>
              </w:rPr>
              <w:t xml:space="preserve"> </w:t>
            </w:r>
            <w:r w:rsidRPr="00F944F6">
              <w:rPr>
                <w:rFonts w:ascii="Arial" w:hAnsi="Arial" w:cs="Arial"/>
                <w:i/>
                <w:iCs/>
                <w:sz w:val="24"/>
                <w:szCs w:val="24"/>
                <w:lang w:val="en-US"/>
              </w:rPr>
              <w:t>versus</w:t>
            </w:r>
            <w:r w:rsidRPr="00F944F6">
              <w:rPr>
                <w:rFonts w:ascii="Arial" w:hAnsi="Arial" w:cs="Arial"/>
                <w:sz w:val="24"/>
                <w:szCs w:val="24"/>
                <w:lang w:val="en-US"/>
              </w:rPr>
              <w:t xml:space="preserve"> placebo and dimethyl fumarate </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 xml:space="preserve">(NCT02975349) </w:t>
            </w:r>
            <w:sdt>
              <w:sdtPr>
                <w:rPr>
                  <w:rFonts w:ascii="Arial" w:hAnsi="Arial" w:cs="Arial"/>
                  <w:sz w:val="24"/>
                  <w:szCs w:val="24"/>
                  <w:lang w:val="en-US"/>
                </w:rPr>
                <w:alias w:val="To edit, see citavi.com/edit"/>
                <w:tag w:val="CitaviPlaceholder#2f3e525a-94d1-470d-8f5a-92272b39ecd0"/>
                <w:id w:val="-1240709236"/>
                <w:placeholder>
                  <w:docPart w:val="9444748C56664FFF820E4B60F3CFE92D"/>
                </w:placeholder>
              </w:sdtPr>
              <w:sdtContent>
                <w:r w:rsidRPr="00F944F6">
                  <w:rPr>
                    <w:rFonts w:ascii="Arial" w:hAnsi="Arial" w:cs="Arial"/>
                    <w:noProof/>
                    <w:sz w:val="24"/>
                    <w:szCs w:val="24"/>
                    <w:lang w:val="en-US"/>
                  </w:rPr>
                  <w:fldChar w:fldCharType="begin"/>
                </w:r>
                <w:r w:rsidRPr="00F944F6">
                  <w:rPr>
                    <w:rFonts w:ascii="Arial" w:hAnsi="Arial" w:cs="Arial"/>
                    <w:noProof/>
                    <w:sz w:val="24"/>
                    <w:szCs w:val="24"/>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E5ZmYzZDBhLTJlOTYtNGViMC1iOTUyLTBhYzA3YmU3YWU2MyIsIlJhbmdlTGVuZ3RoIjoyLCJSZWZlcmVuY2VJZCI6ImI5MzI2NWM0LTBjYjEtNGY2My1hOTk3LTFkMjZjZWY5ZTU1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}</w:instrText>
                </w:r>
                <w:r w:rsidRPr="00F944F6">
                  <w:rPr>
                    <w:rFonts w:ascii="Arial" w:hAnsi="Arial" w:cs="Arial"/>
                    <w:noProof/>
                    <w:sz w:val="24"/>
                    <w:szCs w:val="24"/>
                    <w:lang w:val="en-US"/>
                  </w:rPr>
                  <w:fldChar w:fldCharType="separate"/>
                </w:r>
                <w:r w:rsidRPr="00F944F6">
                  <w:rPr>
                    <w:rFonts w:ascii="Arial" w:hAnsi="Arial" w:cs="Arial"/>
                    <w:noProof/>
                    <w:sz w:val="24"/>
                    <w:szCs w:val="24"/>
                    <w:vertAlign w:val="superscript"/>
                    <w:lang w:val="en-US"/>
                  </w:rPr>
                  <w:t>42</w:t>
                </w:r>
                <w:r w:rsidRPr="00F944F6">
                  <w:rPr>
                    <w:rFonts w:ascii="Arial" w:hAnsi="Arial" w:cs="Arial"/>
                    <w:noProof/>
                    <w:sz w:val="24"/>
                    <w:szCs w:val="24"/>
                    <w:lang w:val="en-US"/>
                  </w:rPr>
                  <w:fldChar w:fldCharType="end"/>
                </w:r>
              </w:sdtContent>
            </w:sdt>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 xml:space="preserve">Placebo, </w:t>
            </w:r>
            <w:proofErr w:type="spellStart"/>
            <w:r w:rsidRPr="00F944F6">
              <w:rPr>
                <w:rFonts w:ascii="Arial" w:hAnsi="Arial" w:cs="Arial"/>
                <w:sz w:val="24"/>
                <w:szCs w:val="24"/>
                <w:lang w:val="en-US"/>
              </w:rPr>
              <w:t>Evobrutinib</w:t>
            </w:r>
            <w:proofErr w:type="spellEnd"/>
            <w:r w:rsidRPr="00F944F6">
              <w:rPr>
                <w:rFonts w:ascii="Arial" w:hAnsi="Arial" w:cs="Arial"/>
                <w:sz w:val="24"/>
                <w:szCs w:val="24"/>
                <w:lang w:val="en-US"/>
              </w:rPr>
              <w:t xml:space="preserve"> 25 mg </w:t>
            </w:r>
            <w:proofErr w:type="spellStart"/>
            <w:r w:rsidRPr="00F944F6">
              <w:rPr>
                <w:rFonts w:ascii="Arial" w:hAnsi="Arial" w:cs="Arial"/>
                <w:sz w:val="24"/>
                <w:szCs w:val="24"/>
                <w:lang w:val="en-US"/>
              </w:rPr>
              <w:t>qd</w:t>
            </w:r>
            <w:proofErr w:type="spellEnd"/>
            <w:r w:rsidRPr="00F944F6">
              <w:rPr>
                <w:rFonts w:ascii="Arial" w:hAnsi="Arial" w:cs="Arial"/>
                <w:sz w:val="24"/>
                <w:szCs w:val="24"/>
                <w:lang w:val="en-US"/>
              </w:rPr>
              <w:t xml:space="preserve">, 75 mg </w:t>
            </w:r>
            <w:proofErr w:type="spellStart"/>
            <w:r w:rsidRPr="00F944F6">
              <w:rPr>
                <w:rFonts w:ascii="Arial" w:hAnsi="Arial" w:cs="Arial"/>
                <w:sz w:val="24"/>
                <w:szCs w:val="24"/>
                <w:lang w:val="en-US"/>
              </w:rPr>
              <w:t>qd</w:t>
            </w:r>
            <w:proofErr w:type="spellEnd"/>
            <w:r w:rsidRPr="00F944F6">
              <w:rPr>
                <w:rFonts w:ascii="Arial" w:hAnsi="Arial" w:cs="Arial"/>
                <w:sz w:val="24"/>
                <w:szCs w:val="24"/>
                <w:lang w:val="en-US"/>
              </w:rPr>
              <w:t xml:space="preserve">, 75 mg BID, or </w:t>
            </w:r>
            <w:proofErr w:type="spellStart"/>
            <w:r w:rsidRPr="00F944F6">
              <w:rPr>
                <w:rFonts w:ascii="Arial" w:hAnsi="Arial" w:cs="Arial"/>
                <w:sz w:val="24"/>
                <w:szCs w:val="24"/>
                <w:lang w:val="en-US"/>
              </w:rPr>
              <w:t>dimethylfumarate</w:t>
            </w:r>
            <w:proofErr w:type="spellEnd"/>
            <w:r w:rsidRPr="00F944F6">
              <w:rPr>
                <w:rFonts w:ascii="Arial" w:hAnsi="Arial" w:cs="Arial"/>
                <w:sz w:val="24"/>
                <w:szCs w:val="24"/>
                <w:lang w:val="en-US"/>
              </w:rPr>
              <w:t xml:space="preserve"> 240 mg BID</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n=267 participants</w:t>
            </w:r>
          </w:p>
        </w:tc>
        <w:tc>
          <w:tcPr>
            <w:tcW w:w="2427" w:type="dxa"/>
            <w:vAlign w:val="center"/>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w:t>
            </w:r>
          </w:p>
        </w:tc>
        <w:tc>
          <w:tcPr>
            <w:tcW w:w="3527" w:type="dxa"/>
            <w:gridSpan w:val="2"/>
          </w:tcPr>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SAR442168</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i/>
                <w:iCs/>
                <w:sz w:val="24"/>
                <w:szCs w:val="24"/>
                <w:lang w:val="en-US"/>
              </w:rPr>
              <w:t>versus</w:t>
            </w:r>
            <w:r w:rsidRPr="00F944F6">
              <w:rPr>
                <w:rFonts w:ascii="Arial" w:hAnsi="Arial" w:cs="Arial"/>
                <w:sz w:val="24"/>
                <w:szCs w:val="24"/>
                <w:lang w:val="en-US"/>
              </w:rPr>
              <w:t xml:space="preserve"> placebo (NCT03889639)</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n=129 participants</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(NCT03996291)</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 xml:space="preserve">long-term extension </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n=126 planned participants</w:t>
            </w:r>
          </w:p>
        </w:tc>
        <w:tc>
          <w:tcPr>
            <w:tcW w:w="3118" w:type="dxa"/>
            <w:vAlign w:val="center"/>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w:t>
            </w:r>
          </w:p>
        </w:tc>
      </w:tr>
      <w:tr w:rsidR="009040BB" w:rsidRPr="00F944F6" w:rsidTr="0082094D">
        <w:tc>
          <w:tcPr>
            <w:tcW w:w="2405" w:type="dxa"/>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Phase 3</w:t>
            </w:r>
          </w:p>
        </w:tc>
        <w:tc>
          <w:tcPr>
            <w:tcW w:w="3969" w:type="dxa"/>
          </w:tcPr>
          <w:p w:rsidR="009040BB" w:rsidRPr="00F944F6" w:rsidRDefault="009040BB" w:rsidP="0082094D">
            <w:pPr>
              <w:spacing w:line="259" w:lineRule="auto"/>
              <w:rPr>
                <w:rFonts w:ascii="Arial" w:hAnsi="Arial" w:cs="Arial"/>
                <w:sz w:val="24"/>
                <w:szCs w:val="24"/>
                <w:lang w:val="en-US"/>
              </w:rPr>
            </w:pPr>
            <w:proofErr w:type="spellStart"/>
            <w:r w:rsidRPr="00F944F6">
              <w:rPr>
                <w:rFonts w:ascii="Arial" w:hAnsi="Arial" w:cs="Arial"/>
                <w:sz w:val="24"/>
                <w:szCs w:val="24"/>
                <w:lang w:val="en-US"/>
              </w:rPr>
              <w:t>Evobrutinib</w:t>
            </w:r>
            <w:proofErr w:type="spellEnd"/>
            <w:r w:rsidRPr="00F944F6">
              <w:rPr>
                <w:rFonts w:ascii="Arial" w:hAnsi="Arial" w:cs="Arial"/>
                <w:sz w:val="24"/>
                <w:szCs w:val="24"/>
                <w:lang w:val="en-US"/>
              </w:rPr>
              <w:t xml:space="preserve"> BID</w:t>
            </w:r>
            <w:r w:rsidRPr="00F944F6">
              <w:rPr>
                <w:rFonts w:ascii="Arial" w:hAnsi="Arial" w:cs="Arial"/>
                <w:i/>
                <w:sz w:val="24"/>
                <w:szCs w:val="24"/>
                <w:lang w:val="en-US"/>
              </w:rPr>
              <w:t xml:space="preserve"> versus</w:t>
            </w:r>
            <w:r w:rsidRPr="00F944F6">
              <w:rPr>
                <w:rFonts w:ascii="Arial" w:hAnsi="Arial" w:cs="Arial"/>
                <w:sz w:val="24"/>
                <w:szCs w:val="24"/>
                <w:lang w:val="en-US"/>
              </w:rPr>
              <w:t xml:space="preserve"> teriflunomide 14 mg </w:t>
            </w:r>
            <w:proofErr w:type="spellStart"/>
            <w:r w:rsidRPr="00F944F6">
              <w:rPr>
                <w:rFonts w:ascii="Arial" w:hAnsi="Arial" w:cs="Arial"/>
                <w:sz w:val="24"/>
                <w:szCs w:val="24"/>
                <w:lang w:val="en-US"/>
              </w:rPr>
              <w:t>qd</w:t>
            </w:r>
            <w:proofErr w:type="spellEnd"/>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(NCT04338022 and NCT04338061)</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Primary outcome: Annualized Relapse Rate</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930 planned participants each</w:t>
            </w:r>
          </w:p>
        </w:tc>
        <w:tc>
          <w:tcPr>
            <w:tcW w:w="2427" w:type="dxa"/>
            <w:vAlign w:val="center"/>
          </w:tcPr>
          <w:p w:rsidR="009040BB" w:rsidRPr="00F944F6" w:rsidRDefault="009040BB" w:rsidP="0082094D">
            <w:pPr>
              <w:spacing w:line="259" w:lineRule="auto"/>
              <w:jc w:val="center"/>
              <w:rPr>
                <w:rFonts w:ascii="Arial" w:hAnsi="Arial" w:cs="Arial"/>
                <w:sz w:val="24"/>
                <w:szCs w:val="24"/>
                <w:lang w:val="en-US"/>
              </w:rPr>
            </w:pPr>
            <w:r w:rsidRPr="00F944F6">
              <w:rPr>
                <w:rFonts w:ascii="Arial" w:hAnsi="Arial" w:cs="Arial"/>
                <w:sz w:val="24"/>
                <w:szCs w:val="24"/>
                <w:lang w:val="en-US"/>
              </w:rPr>
              <w:t>./.</w:t>
            </w:r>
          </w:p>
        </w:tc>
        <w:tc>
          <w:tcPr>
            <w:tcW w:w="3527" w:type="dxa"/>
            <w:gridSpan w:val="2"/>
          </w:tcPr>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GEMINI I and GEMINI II</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(NCT4410978 and NCT04410991)</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 xml:space="preserve">SAR442168 </w:t>
            </w:r>
            <w:r w:rsidRPr="00F944F6">
              <w:rPr>
                <w:rFonts w:ascii="Arial" w:hAnsi="Arial" w:cs="Arial"/>
                <w:i/>
                <w:iCs/>
                <w:sz w:val="24"/>
                <w:szCs w:val="24"/>
                <w:lang w:val="en-US"/>
              </w:rPr>
              <w:t>versus</w:t>
            </w:r>
            <w:r w:rsidRPr="00F944F6">
              <w:rPr>
                <w:rFonts w:ascii="Arial" w:hAnsi="Arial" w:cs="Arial"/>
                <w:sz w:val="24"/>
                <w:szCs w:val="24"/>
                <w:lang w:val="en-US"/>
              </w:rPr>
              <w:t xml:space="preserve"> teriflunomide 14 mg once daily</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Primary outcome: Annualized Relapse Rate</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lastRenderedPageBreak/>
              <w:t>900 planned participants each</w:t>
            </w:r>
          </w:p>
        </w:tc>
        <w:tc>
          <w:tcPr>
            <w:tcW w:w="3118" w:type="dxa"/>
          </w:tcPr>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lastRenderedPageBreak/>
              <w:t>HERCULES (</w:t>
            </w:r>
            <w:proofErr w:type="spellStart"/>
            <w:r w:rsidRPr="00F944F6">
              <w:rPr>
                <w:rFonts w:ascii="Arial" w:hAnsi="Arial" w:cs="Arial"/>
                <w:sz w:val="24"/>
                <w:szCs w:val="24"/>
                <w:lang w:val="en-US"/>
              </w:rPr>
              <w:t>nrSPMS</w:t>
            </w:r>
            <w:proofErr w:type="spellEnd"/>
            <w:r w:rsidRPr="00F944F6">
              <w:rPr>
                <w:rFonts w:ascii="Arial" w:hAnsi="Arial" w:cs="Arial"/>
                <w:sz w:val="24"/>
                <w:szCs w:val="24"/>
                <w:lang w:val="en-US"/>
              </w:rPr>
              <w:t>)</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(NCT04411641)</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 xml:space="preserve">SAR442168 </w:t>
            </w:r>
            <w:r w:rsidRPr="00F944F6">
              <w:rPr>
                <w:rFonts w:ascii="Arial" w:hAnsi="Arial" w:cs="Arial"/>
                <w:i/>
                <w:iCs/>
                <w:sz w:val="24"/>
                <w:szCs w:val="24"/>
                <w:lang w:val="en-US"/>
              </w:rPr>
              <w:t>versus</w:t>
            </w:r>
            <w:r w:rsidRPr="00F944F6">
              <w:rPr>
                <w:rFonts w:ascii="Arial" w:hAnsi="Arial" w:cs="Arial"/>
                <w:sz w:val="24"/>
                <w:szCs w:val="24"/>
                <w:lang w:val="en-US"/>
              </w:rPr>
              <w:t xml:space="preserve"> placebo once daily</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Primary outcome:</w:t>
            </w: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t>6 month confirmed disability progression</w:t>
            </w:r>
          </w:p>
          <w:p w:rsidR="009040BB" w:rsidRPr="00F944F6" w:rsidRDefault="009040BB" w:rsidP="0082094D">
            <w:pPr>
              <w:spacing w:line="259" w:lineRule="auto"/>
              <w:rPr>
                <w:rFonts w:ascii="Arial" w:hAnsi="Arial" w:cs="Arial"/>
                <w:sz w:val="24"/>
                <w:szCs w:val="24"/>
                <w:lang w:val="en-US"/>
              </w:rPr>
            </w:pPr>
          </w:p>
          <w:p w:rsidR="009040BB" w:rsidRPr="00F944F6" w:rsidRDefault="009040BB" w:rsidP="0082094D">
            <w:pPr>
              <w:spacing w:line="259" w:lineRule="auto"/>
              <w:rPr>
                <w:rFonts w:ascii="Arial" w:hAnsi="Arial" w:cs="Arial"/>
                <w:sz w:val="24"/>
                <w:szCs w:val="24"/>
                <w:lang w:val="en-US"/>
              </w:rPr>
            </w:pPr>
            <w:r w:rsidRPr="00F944F6">
              <w:rPr>
                <w:rFonts w:ascii="Arial" w:hAnsi="Arial" w:cs="Arial"/>
                <w:sz w:val="24"/>
                <w:szCs w:val="24"/>
                <w:lang w:val="en-US"/>
              </w:rPr>
              <w:lastRenderedPageBreak/>
              <w:t>1290 planned participants</w:t>
            </w:r>
          </w:p>
        </w:tc>
      </w:tr>
    </w:tbl>
    <w:p w:rsidR="009040BB" w:rsidRPr="00F944F6" w:rsidRDefault="009040BB" w:rsidP="009040BB">
      <w:pPr>
        <w:rPr>
          <w:rFonts w:ascii="Arial" w:hAnsi="Arial" w:cs="Arial"/>
          <w:sz w:val="24"/>
          <w:szCs w:val="24"/>
        </w:rPr>
      </w:pPr>
    </w:p>
    <w:p w:rsidR="009040BB" w:rsidRPr="00F944F6" w:rsidRDefault="009040BB" w:rsidP="009040BB">
      <w:pPr>
        <w:rPr>
          <w:rFonts w:ascii="Arial" w:hAnsi="Arial" w:cs="Arial"/>
          <w:sz w:val="24"/>
          <w:szCs w:val="24"/>
        </w:rPr>
      </w:pPr>
    </w:p>
    <w:p w:rsidR="009040BB" w:rsidRPr="00F944F6" w:rsidRDefault="009040BB" w:rsidP="009040BB">
      <w:pPr>
        <w:rPr>
          <w:rFonts w:ascii="Arial" w:hAnsi="Arial" w:cs="Arial"/>
          <w:sz w:val="24"/>
          <w:szCs w:val="24"/>
        </w:rPr>
      </w:pPr>
      <w:r w:rsidRPr="00F944F6">
        <w:rPr>
          <w:rFonts w:ascii="Arial" w:hAnsi="Arial" w:cs="Arial"/>
          <w:sz w:val="24"/>
          <w:szCs w:val="24"/>
        </w:rPr>
        <w:t xml:space="preserve">PPMS = primary progressive MS, </w:t>
      </w:r>
      <w:proofErr w:type="spellStart"/>
      <w:r w:rsidRPr="00F944F6">
        <w:rPr>
          <w:rFonts w:ascii="Arial" w:hAnsi="Arial" w:cs="Arial"/>
          <w:sz w:val="24"/>
          <w:szCs w:val="24"/>
        </w:rPr>
        <w:t>nrSPMS</w:t>
      </w:r>
      <w:proofErr w:type="spellEnd"/>
      <w:r w:rsidRPr="00F944F6">
        <w:rPr>
          <w:rFonts w:ascii="Arial" w:hAnsi="Arial" w:cs="Arial"/>
          <w:sz w:val="24"/>
          <w:szCs w:val="24"/>
        </w:rPr>
        <w:t xml:space="preserve"> = non-relapsing secondary progressive MS. </w:t>
      </w:r>
    </w:p>
    <w:p w:rsidR="009040BB" w:rsidRPr="00F944F6" w:rsidRDefault="009040BB" w:rsidP="009040BB">
      <w:pPr>
        <w:rPr>
          <w:rFonts w:ascii="Arial" w:hAnsi="Arial" w:cs="Arial"/>
          <w:sz w:val="24"/>
          <w:szCs w:val="24"/>
        </w:rPr>
      </w:pPr>
    </w:p>
    <w:p w:rsidR="009040BB" w:rsidRPr="00F944F6" w:rsidRDefault="009040BB" w:rsidP="009040BB">
      <w:pPr>
        <w:rPr>
          <w:rFonts w:ascii="Arial" w:hAnsi="Arial" w:cs="Arial"/>
          <w:sz w:val="24"/>
          <w:szCs w:val="24"/>
        </w:rPr>
      </w:pPr>
      <w:r w:rsidRPr="00F944F6">
        <w:rPr>
          <w:rFonts w:ascii="Arial" w:hAnsi="Arial" w:cs="Arial"/>
          <w:sz w:val="24"/>
          <w:szCs w:val="24"/>
        </w:rPr>
        <w:t xml:space="preserve">Roche has initiated a clinical development program of the oral Bruton’s Tyrosine kinase inhibitor </w:t>
      </w:r>
      <w:proofErr w:type="spellStart"/>
      <w:r w:rsidRPr="00F944F6">
        <w:rPr>
          <w:rFonts w:ascii="Arial" w:hAnsi="Arial" w:cs="Arial"/>
          <w:sz w:val="24"/>
          <w:szCs w:val="24"/>
        </w:rPr>
        <w:t>fenobrutinib</w:t>
      </w:r>
      <w:proofErr w:type="spellEnd"/>
      <w:r w:rsidRPr="00F944F6">
        <w:rPr>
          <w:rFonts w:ascii="Arial" w:hAnsi="Arial" w:cs="Arial"/>
          <w:sz w:val="24"/>
          <w:szCs w:val="24"/>
        </w:rPr>
        <w:t xml:space="preserve"> (GDC-0853) in both relapsing and progressive MS with several phase 3 trials about to get started.</w:t>
      </w:r>
    </w:p>
    <w:p w:rsidR="00E2760A" w:rsidRDefault="00E2760A"/>
    <w:sectPr w:rsidR="00E2760A" w:rsidSect="009040B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F7F"/>
    <w:multiLevelType w:val="hybridMultilevel"/>
    <w:tmpl w:val="0DA6EFFE"/>
    <w:lvl w:ilvl="0" w:tplc="04070001">
      <w:start w:val="1"/>
      <w:numFmt w:val="bullet"/>
      <w:lvlText w:val=""/>
      <w:lvlJc w:val="left"/>
      <w:pPr>
        <w:ind w:left="927"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D6B0040"/>
    <w:multiLevelType w:val="hybridMultilevel"/>
    <w:tmpl w:val="86EA2D5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FC9355B"/>
    <w:multiLevelType w:val="hybridMultilevel"/>
    <w:tmpl w:val="2A3CB7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64179DD"/>
    <w:multiLevelType w:val="hybridMultilevel"/>
    <w:tmpl w:val="BDF04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D7705AA"/>
    <w:multiLevelType w:val="hybridMultilevel"/>
    <w:tmpl w:val="1234D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BB"/>
    <w:rsid w:val="009040BB"/>
    <w:rsid w:val="00E27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E6A5"/>
  <w15:chartTrackingRefBased/>
  <w15:docId w15:val="{2BD329DC-F739-4C9E-B1B5-6067CC84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0BB"/>
    <w:rPr>
      <w:color w:val="0563C1" w:themeColor="hyperlink"/>
      <w:u w:val="single"/>
    </w:rPr>
  </w:style>
  <w:style w:type="paragraph" w:styleId="ListParagraph">
    <w:name w:val="List Paragraph"/>
    <w:basedOn w:val="Normal"/>
    <w:uiPriority w:val="34"/>
    <w:qFormat/>
    <w:rsid w:val="009040BB"/>
    <w:pPr>
      <w:spacing w:line="256" w:lineRule="auto"/>
      <w:ind w:left="720"/>
      <w:contextualSpacing/>
    </w:pPr>
    <w:rPr>
      <w:rFonts w:eastAsiaTheme="minorEastAsia"/>
      <w:lang w:val="de-DE" w:eastAsia="de-DE"/>
    </w:rPr>
  </w:style>
  <w:style w:type="paragraph" w:styleId="Caption">
    <w:name w:val="caption"/>
    <w:basedOn w:val="Normal"/>
    <w:next w:val="Normal"/>
    <w:uiPriority w:val="35"/>
    <w:unhideWhenUsed/>
    <w:qFormat/>
    <w:rsid w:val="009040BB"/>
    <w:pPr>
      <w:spacing w:after="200" w:line="240" w:lineRule="auto"/>
    </w:pPr>
    <w:rPr>
      <w:rFonts w:eastAsiaTheme="minorEastAsia"/>
      <w:i/>
      <w:iCs/>
      <w:color w:val="44546A" w:themeColor="text2"/>
      <w:sz w:val="18"/>
      <w:szCs w:val="18"/>
      <w:lang w:val="de-DE" w:eastAsia="de-DE"/>
    </w:rPr>
  </w:style>
  <w:style w:type="table" w:styleId="TableGrid">
    <w:name w:val="Table Grid"/>
    <w:basedOn w:val="TableNormal"/>
    <w:uiPriority w:val="39"/>
    <w:rsid w:val="009040BB"/>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0BB"/>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a.ca/en/services/health/drug-health-products" TargetMode="External"/><Relationship Id="rId5" Type="http://schemas.openxmlformats.org/officeDocument/2006/relationships/hyperlink" Target="http://www.accessdata.fda.gov/drugsatfda_doc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44748C56664FFF820E4B60F3CFE92D"/>
        <w:category>
          <w:name w:val="General"/>
          <w:gallery w:val="placeholder"/>
        </w:category>
        <w:types>
          <w:type w:val="bbPlcHdr"/>
        </w:types>
        <w:behaviors>
          <w:behavior w:val="content"/>
        </w:behaviors>
        <w:guid w:val="{DF33C499-7D5C-40BF-99BA-2FDAC28A238F}"/>
      </w:docPartPr>
      <w:docPartBody>
        <w:p w:rsidR="00000000" w:rsidRDefault="0009563C" w:rsidP="0009563C">
          <w:pPr>
            <w:pStyle w:val="9444748C56664FFF820E4B60F3CFE92D"/>
          </w:pPr>
          <w:r w:rsidRPr="00AC18CA">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C"/>
    <w:rsid w:val="0009563C"/>
    <w:rsid w:val="008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563C"/>
    <w:rPr>
      <w:color w:val="808080"/>
    </w:rPr>
  </w:style>
  <w:style w:type="paragraph" w:customStyle="1" w:styleId="4125BAAD62EF4CE18E6F69BA805C5B43">
    <w:name w:val="4125BAAD62EF4CE18E6F69BA805C5B43"/>
    <w:rsid w:val="0009563C"/>
  </w:style>
  <w:style w:type="paragraph" w:customStyle="1" w:styleId="9444748C56664FFF820E4B60F3CFE92D">
    <w:name w:val="9444748C56664FFF820E4B60F3CFE92D"/>
    <w:rsid w:val="00095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Sorenson</dc:creator>
  <cp:keywords/>
  <dc:description/>
  <cp:lastModifiedBy>Morgan Sorenson</cp:lastModifiedBy>
  <cp:revision>1</cp:revision>
  <dcterms:created xsi:type="dcterms:W3CDTF">2020-10-13T17:48:00Z</dcterms:created>
  <dcterms:modified xsi:type="dcterms:W3CDTF">2020-10-13T17:49:00Z</dcterms:modified>
</cp:coreProperties>
</file>