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3BBC" w14:textId="77777777" w:rsidR="00CD47F8" w:rsidRDefault="00CD47F8" w:rsidP="00CD47F8">
      <w:pPr>
        <w:pStyle w:val="CitaviBibliographyEntry"/>
        <w:rPr>
          <w:lang w:val="en-GB"/>
        </w:rPr>
      </w:pPr>
      <w:bookmarkStart w:id="0" w:name="_CTVL001b6304ec05c474722bfea6c2633494858"/>
      <w:r w:rsidRPr="006052F0">
        <w:t>e1.</w:t>
      </w:r>
      <w:r w:rsidRPr="006052F0">
        <w:tab/>
        <w:t xml:space="preserve">Graf J, Leussink VI, Dehmel T, et al. </w:t>
      </w:r>
      <w:r>
        <w:rPr>
          <w:lang w:val="en-GB"/>
        </w:rPr>
        <w:t xml:space="preserve">Infectious risk stratification in multiple sclerosis patients receiving immunotherapy. Ann Clin </w:t>
      </w:r>
      <w:proofErr w:type="spellStart"/>
      <w:r>
        <w:rPr>
          <w:lang w:val="en-GB"/>
        </w:rPr>
        <w:t>Transl</w:t>
      </w:r>
      <w:proofErr w:type="spellEnd"/>
      <w:r>
        <w:rPr>
          <w:lang w:val="en-GB"/>
        </w:rPr>
        <w:t xml:space="preserve"> Neurol. </w:t>
      </w:r>
      <w:proofErr w:type="gramStart"/>
      <w:r>
        <w:rPr>
          <w:lang w:val="en-GB"/>
        </w:rPr>
        <w:t>2017;4:909</w:t>
      </w:r>
      <w:proofErr w:type="gramEnd"/>
      <w:r>
        <w:rPr>
          <w:lang w:val="en-GB"/>
        </w:rPr>
        <w:t>–914.</w:t>
      </w:r>
    </w:p>
    <w:p w14:paraId="12FB901D" w14:textId="77777777" w:rsidR="00CD47F8" w:rsidRDefault="00CD47F8" w:rsidP="00CD47F8">
      <w:pPr>
        <w:pStyle w:val="CitaviBibliographyEntry"/>
        <w:rPr>
          <w:lang w:val="en-GB"/>
        </w:rPr>
      </w:pPr>
      <w:bookmarkStart w:id="1" w:name="_CTVL001196b35c4aaea4706b0b96f4e117e8ac4"/>
      <w:bookmarkEnd w:id="0"/>
      <w:r>
        <w:rPr>
          <w:lang w:val="en-GB"/>
        </w:rPr>
        <w:t>e2.</w:t>
      </w:r>
      <w:r>
        <w:rPr>
          <w:lang w:val="en-GB"/>
        </w:rPr>
        <w:tab/>
      </w:r>
      <w:proofErr w:type="spellStart"/>
      <w:r>
        <w:rPr>
          <w:lang w:val="en-GB"/>
        </w:rPr>
        <w:t>Focosi</w:t>
      </w:r>
      <w:proofErr w:type="spellEnd"/>
      <w:r>
        <w:rPr>
          <w:lang w:val="en-GB"/>
        </w:rPr>
        <w:t xml:space="preserve"> D, </w:t>
      </w:r>
      <w:proofErr w:type="spellStart"/>
      <w:r>
        <w:rPr>
          <w:lang w:val="en-GB"/>
        </w:rPr>
        <w:t>Tuccori</w:t>
      </w:r>
      <w:proofErr w:type="spellEnd"/>
      <w:r>
        <w:rPr>
          <w:lang w:val="en-GB"/>
        </w:rPr>
        <w:t xml:space="preserve"> M, Maggi F. Progressive multifocal leukoencephalopathy and anti-CD20 monoclonal antibodies: What do we know after 20 years of rituximab. Rev Med </w:t>
      </w:r>
      <w:proofErr w:type="spellStart"/>
      <w:r>
        <w:rPr>
          <w:lang w:val="en-GB"/>
        </w:rPr>
        <w:t>Virol</w:t>
      </w:r>
      <w:proofErr w:type="spellEnd"/>
      <w:r>
        <w:rPr>
          <w:lang w:val="en-GB"/>
        </w:rPr>
        <w:t>. 2019;</w:t>
      </w:r>
      <w:proofErr w:type="gramStart"/>
      <w:r>
        <w:rPr>
          <w:lang w:val="en-GB"/>
        </w:rPr>
        <w:t>29:e</w:t>
      </w:r>
      <w:proofErr w:type="gramEnd"/>
      <w:r>
        <w:rPr>
          <w:lang w:val="en-GB"/>
        </w:rPr>
        <w:t>2077.</w:t>
      </w:r>
    </w:p>
    <w:p w14:paraId="57D462D4" w14:textId="77777777" w:rsidR="00CD47F8" w:rsidRDefault="00CD47F8" w:rsidP="00CD47F8">
      <w:pPr>
        <w:pStyle w:val="CitaviBibliographyEntry"/>
        <w:rPr>
          <w:lang w:val="en-GB"/>
        </w:rPr>
      </w:pPr>
      <w:bookmarkStart w:id="2" w:name="_CTVL0012ed3bddc5c394f9ab10e14947558527e"/>
      <w:bookmarkEnd w:id="1"/>
      <w:r>
        <w:rPr>
          <w:lang w:val="en-GB"/>
        </w:rPr>
        <w:t>e3.</w:t>
      </w:r>
      <w:r>
        <w:rPr>
          <w:lang w:val="en-GB"/>
        </w:rPr>
        <w:tab/>
      </w:r>
      <w:proofErr w:type="spellStart"/>
      <w:r>
        <w:rPr>
          <w:lang w:val="en-GB"/>
        </w:rPr>
        <w:t>Zanetta</w:t>
      </w:r>
      <w:proofErr w:type="spellEnd"/>
      <w:r>
        <w:rPr>
          <w:lang w:val="en-GB"/>
        </w:rPr>
        <w:t xml:space="preserve"> C, </w:t>
      </w:r>
      <w:proofErr w:type="spellStart"/>
      <w:r>
        <w:rPr>
          <w:lang w:val="en-GB"/>
        </w:rPr>
        <w:t>Robotti</w:t>
      </w:r>
      <w:proofErr w:type="spellEnd"/>
      <w:r>
        <w:rPr>
          <w:lang w:val="en-GB"/>
        </w:rPr>
        <w:t xml:space="preserve"> M, </w:t>
      </w:r>
      <w:proofErr w:type="spellStart"/>
      <w:r>
        <w:rPr>
          <w:lang w:val="en-GB"/>
        </w:rPr>
        <w:t>Nozzolillo</w:t>
      </w:r>
      <w:proofErr w:type="spellEnd"/>
      <w:r>
        <w:rPr>
          <w:lang w:val="en-GB"/>
        </w:rPr>
        <w:t xml:space="preserve"> A, et al. Late onset absolute neutropenia associated with ocrelizumab treatment in multiple sclerosis: A case report and review of the literature. J </w:t>
      </w:r>
      <w:proofErr w:type="spellStart"/>
      <w:r>
        <w:rPr>
          <w:lang w:val="en-GB"/>
        </w:rPr>
        <w:t>Neurol</w:t>
      </w:r>
      <w:proofErr w:type="spellEnd"/>
      <w:r>
        <w:rPr>
          <w:lang w:val="en-GB"/>
        </w:rPr>
        <w:t xml:space="preserve"> Sci. </w:t>
      </w:r>
      <w:proofErr w:type="gramStart"/>
      <w:r>
        <w:rPr>
          <w:lang w:val="en-GB"/>
        </w:rPr>
        <w:t>2019;409:116603</w:t>
      </w:r>
      <w:proofErr w:type="gramEnd"/>
      <w:r>
        <w:rPr>
          <w:lang w:val="en-GB"/>
        </w:rPr>
        <w:t>.</w:t>
      </w:r>
    </w:p>
    <w:p w14:paraId="09E044FF" w14:textId="77777777" w:rsidR="00CD47F8" w:rsidRDefault="00CD47F8" w:rsidP="00CD47F8">
      <w:pPr>
        <w:pStyle w:val="CitaviBibliographyEntry"/>
        <w:rPr>
          <w:lang w:val="en-GB"/>
        </w:rPr>
      </w:pPr>
      <w:bookmarkStart w:id="3" w:name="_CTVL001334166484d79490b9e4da46b72c46f60"/>
      <w:bookmarkEnd w:id="2"/>
      <w:r>
        <w:rPr>
          <w:lang w:val="en-GB"/>
        </w:rPr>
        <w:t>e4.</w:t>
      </w:r>
      <w:r>
        <w:rPr>
          <w:lang w:val="en-GB"/>
        </w:rPr>
        <w:tab/>
        <w:t xml:space="preserve">Cohen BA. Late-onset neutropenia following ocrelizumab therapy for multiple sclerosis. Neurology. </w:t>
      </w:r>
      <w:proofErr w:type="gramStart"/>
      <w:r>
        <w:rPr>
          <w:lang w:val="en-GB"/>
        </w:rPr>
        <w:t>2019;92:435</w:t>
      </w:r>
      <w:proofErr w:type="gramEnd"/>
      <w:r>
        <w:rPr>
          <w:lang w:val="en-GB"/>
        </w:rPr>
        <w:t>–436.</w:t>
      </w:r>
    </w:p>
    <w:p w14:paraId="7BC3A647" w14:textId="77777777" w:rsidR="00CD47F8" w:rsidRPr="006052F0" w:rsidRDefault="00CD47F8" w:rsidP="00CD47F8">
      <w:pPr>
        <w:pStyle w:val="CitaviBibliographyEntry"/>
      </w:pPr>
      <w:bookmarkStart w:id="4" w:name="_CTVL001bd03a3987cc6424c9314f41193ef70fd"/>
      <w:bookmarkEnd w:id="3"/>
      <w:r>
        <w:rPr>
          <w:lang w:val="en-GB"/>
        </w:rPr>
        <w:t>e5.</w:t>
      </w:r>
      <w:r>
        <w:rPr>
          <w:lang w:val="en-GB"/>
        </w:rPr>
        <w:tab/>
        <w:t xml:space="preserve">Moreira Ferreira VF, Meredith D, Stankiewicz JM. </w:t>
      </w:r>
      <w:proofErr w:type="spellStart"/>
      <w:r>
        <w:rPr>
          <w:lang w:val="en-GB"/>
        </w:rPr>
        <w:t>Tumefactive</w:t>
      </w:r>
      <w:proofErr w:type="spellEnd"/>
      <w:r>
        <w:rPr>
          <w:lang w:val="en-GB"/>
        </w:rPr>
        <w:t xml:space="preserve"> demyelination in a patient with relapsing-remitting MS on ocrelizumab. </w:t>
      </w:r>
      <w:r w:rsidRPr="006052F0">
        <w:t>Neurol Neuroimmunol Neuroinflamm. 2019;6.</w:t>
      </w:r>
    </w:p>
    <w:p w14:paraId="1BCEE21D" w14:textId="77777777" w:rsidR="00CD47F8" w:rsidRPr="006052F0" w:rsidRDefault="00CD47F8" w:rsidP="00CD47F8">
      <w:pPr>
        <w:pStyle w:val="CitaviBibliographyEntry"/>
      </w:pPr>
      <w:bookmarkStart w:id="5" w:name="_CTVL0017ca214edac6d490b8ab70eb46e5377a9"/>
      <w:bookmarkEnd w:id="4"/>
      <w:r w:rsidRPr="006052F0">
        <w:t>e6.</w:t>
      </w:r>
      <w:r w:rsidRPr="006052F0">
        <w:tab/>
        <w:t>Roche Pharma AG. Important Information: Safety Update Ocrelizumab; 2020.</w:t>
      </w:r>
    </w:p>
    <w:p w14:paraId="6AC530CC" w14:textId="77777777" w:rsidR="00CD47F8" w:rsidRDefault="00CD47F8" w:rsidP="00CD47F8">
      <w:pPr>
        <w:pStyle w:val="CitaviBibliographyEntry"/>
        <w:rPr>
          <w:lang w:val="en-GB"/>
        </w:rPr>
      </w:pPr>
      <w:bookmarkStart w:id="6" w:name="_CTVL001588d394ebdea488ebd48e41275f7282e"/>
      <w:bookmarkEnd w:id="5"/>
      <w:r>
        <w:rPr>
          <w:lang w:val="en-GB"/>
        </w:rPr>
        <w:t>e7.</w:t>
      </w:r>
      <w:r>
        <w:rPr>
          <w:lang w:val="en-GB"/>
        </w:rPr>
        <w:tab/>
        <w:t xml:space="preserve">Dudek MIR, </w:t>
      </w:r>
      <w:proofErr w:type="spellStart"/>
      <w:r>
        <w:rPr>
          <w:lang w:val="en-GB"/>
        </w:rPr>
        <w:t>Thies</w:t>
      </w:r>
      <w:proofErr w:type="spellEnd"/>
      <w:r>
        <w:rPr>
          <w:lang w:val="en-GB"/>
        </w:rPr>
        <w:t xml:space="preserve"> K, </w:t>
      </w:r>
      <w:proofErr w:type="spellStart"/>
      <w:r>
        <w:rPr>
          <w:lang w:val="en-GB"/>
        </w:rPr>
        <w:t>Kammenhuber</w:t>
      </w:r>
      <w:proofErr w:type="spellEnd"/>
      <w:r>
        <w:rPr>
          <w:lang w:val="en-GB"/>
        </w:rPr>
        <w:t xml:space="preserve"> S, </w:t>
      </w:r>
      <w:proofErr w:type="spellStart"/>
      <w:r>
        <w:rPr>
          <w:lang w:val="en-GB"/>
        </w:rPr>
        <w:t>Bösel</w:t>
      </w:r>
      <w:proofErr w:type="spellEnd"/>
      <w:r>
        <w:rPr>
          <w:lang w:val="en-GB"/>
        </w:rPr>
        <w:t xml:space="preserve"> J, </w:t>
      </w:r>
      <w:proofErr w:type="spellStart"/>
      <w:r>
        <w:rPr>
          <w:lang w:val="en-GB"/>
        </w:rPr>
        <w:t>Rösche</w:t>
      </w:r>
      <w:proofErr w:type="spellEnd"/>
      <w:r>
        <w:rPr>
          <w:lang w:val="en-GB"/>
        </w:rPr>
        <w:t xml:space="preserve"> J. HSV-2-encephalitis in a patient with multiple sclerosis treated with ocrelizumab. J Neurol. 2019;266(9):2322–2323.</w:t>
      </w:r>
    </w:p>
    <w:p w14:paraId="29EE0024" w14:textId="77777777" w:rsidR="00CD47F8" w:rsidRDefault="00CD47F8" w:rsidP="00CD47F8">
      <w:pPr>
        <w:pStyle w:val="CitaviBibliographyEntry"/>
        <w:rPr>
          <w:lang w:val="en-GB"/>
        </w:rPr>
      </w:pPr>
      <w:bookmarkStart w:id="7" w:name="_CTVL001c808fb2d501a46aa9362f8f190641c38"/>
      <w:bookmarkEnd w:id="6"/>
      <w:r>
        <w:rPr>
          <w:lang w:val="en-GB"/>
        </w:rPr>
        <w:t>e8.</w:t>
      </w:r>
      <w:r>
        <w:rPr>
          <w:lang w:val="en-GB"/>
        </w:rPr>
        <w:tab/>
      </w:r>
      <w:proofErr w:type="spellStart"/>
      <w:r>
        <w:rPr>
          <w:lang w:val="en-GB"/>
        </w:rPr>
        <w:t>Lattanzi</w:t>
      </w:r>
      <w:proofErr w:type="spellEnd"/>
      <w:r>
        <w:rPr>
          <w:lang w:val="en-GB"/>
        </w:rPr>
        <w:t xml:space="preserve"> S, </w:t>
      </w:r>
      <w:proofErr w:type="spellStart"/>
      <w:r>
        <w:rPr>
          <w:lang w:val="en-GB"/>
        </w:rPr>
        <w:t>Carlini</w:t>
      </w:r>
      <w:proofErr w:type="spellEnd"/>
      <w:r>
        <w:rPr>
          <w:lang w:val="en-GB"/>
        </w:rPr>
        <w:t xml:space="preserve"> G, </w:t>
      </w:r>
      <w:proofErr w:type="spellStart"/>
      <w:r>
        <w:rPr>
          <w:lang w:val="en-GB"/>
        </w:rPr>
        <w:t>Acciarri</w:t>
      </w:r>
      <w:proofErr w:type="spellEnd"/>
      <w:r>
        <w:rPr>
          <w:lang w:val="en-GB"/>
        </w:rPr>
        <w:t xml:space="preserve"> MC, Danni M, </w:t>
      </w:r>
      <w:proofErr w:type="spellStart"/>
      <w:r>
        <w:rPr>
          <w:lang w:val="en-GB"/>
        </w:rPr>
        <w:t>Silvestrini</w:t>
      </w:r>
      <w:proofErr w:type="spellEnd"/>
      <w:r>
        <w:rPr>
          <w:lang w:val="en-GB"/>
        </w:rPr>
        <w:t xml:space="preserve"> M. Parvovirus B19 infection in a patient with multiple sclerosis treated with ocrelizumab. Acta </w:t>
      </w:r>
      <w:proofErr w:type="spellStart"/>
      <w:r>
        <w:rPr>
          <w:lang w:val="en-GB"/>
        </w:rPr>
        <w:t>Neurol</w:t>
      </w:r>
      <w:proofErr w:type="spellEnd"/>
      <w:r>
        <w:rPr>
          <w:lang w:val="en-GB"/>
        </w:rPr>
        <w:t xml:space="preserve"> Belg. 2019;120 (1):231–232.</w:t>
      </w:r>
    </w:p>
    <w:p w14:paraId="2A882CA3" w14:textId="77777777" w:rsidR="00CD47F8" w:rsidRDefault="00CD47F8" w:rsidP="00CD47F8">
      <w:pPr>
        <w:pStyle w:val="CitaviBibliographyEntry"/>
        <w:rPr>
          <w:lang w:val="en-GB"/>
        </w:rPr>
      </w:pPr>
      <w:bookmarkStart w:id="8" w:name="_CTVL001ba382541c9c0439aa97ce0f55a72b810"/>
      <w:bookmarkEnd w:id="7"/>
      <w:r>
        <w:rPr>
          <w:lang w:val="en-GB"/>
        </w:rPr>
        <w:t>e9.</w:t>
      </w:r>
      <w:r>
        <w:rPr>
          <w:lang w:val="en-GB"/>
        </w:rPr>
        <w:tab/>
        <w:t xml:space="preserve">Theriault M, Solomon AJ. Two cases of meningitis associated with ocrelizumab therapy. </w:t>
      </w:r>
      <w:proofErr w:type="spellStart"/>
      <w:r>
        <w:rPr>
          <w:lang w:val="en-GB"/>
        </w:rPr>
        <w:t>Mult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Relat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Disord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2019;38:101866</w:t>
      </w:r>
      <w:proofErr w:type="gramEnd"/>
      <w:r>
        <w:rPr>
          <w:lang w:val="en-GB"/>
        </w:rPr>
        <w:t>.</w:t>
      </w:r>
    </w:p>
    <w:p w14:paraId="45252E99" w14:textId="77777777" w:rsidR="00CD47F8" w:rsidRDefault="00CD47F8" w:rsidP="00CD47F8">
      <w:pPr>
        <w:pStyle w:val="CitaviBibliographyEntry"/>
        <w:rPr>
          <w:lang w:val="en-GB"/>
        </w:rPr>
      </w:pPr>
      <w:bookmarkStart w:id="9" w:name="_CTVL00156173881688c4afe975d8f34da899ef1"/>
      <w:bookmarkEnd w:id="8"/>
      <w:r>
        <w:rPr>
          <w:lang w:val="en-GB"/>
        </w:rPr>
        <w:lastRenderedPageBreak/>
        <w:t>e10.</w:t>
      </w:r>
      <w:r>
        <w:rPr>
          <w:lang w:val="en-GB"/>
        </w:rPr>
        <w:tab/>
        <w:t xml:space="preserve">Epstein DJ, Dunn J, </w:t>
      </w:r>
      <w:proofErr w:type="spellStart"/>
      <w:r>
        <w:rPr>
          <w:lang w:val="en-GB"/>
        </w:rPr>
        <w:t>Deresinski</w:t>
      </w:r>
      <w:proofErr w:type="spellEnd"/>
      <w:r>
        <w:rPr>
          <w:lang w:val="en-GB"/>
        </w:rPr>
        <w:t xml:space="preserve"> S. Infectious Complications of Multiple Sclerosis Therapies: Implications for Screening, Prophylaxis, and Management. Open Forum Infect Dis. 2018;</w:t>
      </w:r>
      <w:proofErr w:type="gramStart"/>
      <w:r>
        <w:rPr>
          <w:lang w:val="en-GB"/>
        </w:rPr>
        <w:t>5:ofy</w:t>
      </w:r>
      <w:proofErr w:type="gramEnd"/>
      <w:r>
        <w:rPr>
          <w:lang w:val="en-GB"/>
        </w:rPr>
        <w:t>174.</w:t>
      </w:r>
    </w:p>
    <w:p w14:paraId="3E798510" w14:textId="77777777" w:rsidR="00CD47F8" w:rsidRDefault="00CD47F8" w:rsidP="00CD47F8">
      <w:pPr>
        <w:pStyle w:val="CitaviBibliographyEntry"/>
        <w:rPr>
          <w:lang w:val="en-GB"/>
        </w:rPr>
      </w:pPr>
      <w:bookmarkStart w:id="10" w:name="_CTVL0013c9b468df9734569980c69c68c1b9564"/>
      <w:bookmarkEnd w:id="9"/>
      <w:r>
        <w:rPr>
          <w:lang w:val="en-GB"/>
        </w:rPr>
        <w:t>e11.</w:t>
      </w:r>
      <w:r>
        <w:rPr>
          <w:lang w:val="en-GB"/>
        </w:rPr>
        <w:tab/>
      </w:r>
      <w:proofErr w:type="spellStart"/>
      <w:r>
        <w:rPr>
          <w:lang w:val="en-GB"/>
        </w:rPr>
        <w:t>Tallantyre</w:t>
      </w:r>
      <w:proofErr w:type="spellEnd"/>
      <w:r>
        <w:rPr>
          <w:lang w:val="en-GB"/>
        </w:rPr>
        <w:t xml:space="preserve"> EC, Whittam DH, </w:t>
      </w:r>
      <w:proofErr w:type="spellStart"/>
      <w:r>
        <w:rPr>
          <w:lang w:val="en-GB"/>
        </w:rPr>
        <w:t>Jolles</w:t>
      </w:r>
      <w:proofErr w:type="spellEnd"/>
      <w:r>
        <w:rPr>
          <w:lang w:val="en-GB"/>
        </w:rPr>
        <w:t xml:space="preserve"> S, et al. Secondary antibody deficiency: A complication of anti-CD20 therapy for neuroinflammation. J Neurol. </w:t>
      </w:r>
      <w:proofErr w:type="gramStart"/>
      <w:r>
        <w:rPr>
          <w:lang w:val="en-GB"/>
        </w:rPr>
        <w:t>2018;265:1115</w:t>
      </w:r>
      <w:proofErr w:type="gramEnd"/>
      <w:r>
        <w:rPr>
          <w:lang w:val="en-GB"/>
        </w:rPr>
        <w:t>–1122.</w:t>
      </w:r>
    </w:p>
    <w:p w14:paraId="56F29CB7" w14:textId="77777777" w:rsidR="00CD47F8" w:rsidRDefault="00CD47F8" w:rsidP="00CD47F8">
      <w:pPr>
        <w:pStyle w:val="CitaviBibliographyEntry"/>
        <w:rPr>
          <w:lang w:val="en-GB"/>
        </w:rPr>
      </w:pPr>
      <w:bookmarkStart w:id="11" w:name="_CTVL0012a2dd354811d4c6c8d91489aa458dcf1"/>
      <w:bookmarkEnd w:id="10"/>
      <w:r>
        <w:rPr>
          <w:lang w:val="en-GB"/>
        </w:rPr>
        <w:t>e12.</w:t>
      </w:r>
      <w:r>
        <w:rPr>
          <w:lang w:val="en-GB"/>
        </w:rPr>
        <w:tab/>
        <w:t xml:space="preserve">Christou EAA, </w:t>
      </w:r>
      <w:proofErr w:type="spellStart"/>
      <w:r>
        <w:rPr>
          <w:lang w:val="en-GB"/>
        </w:rPr>
        <w:t>Giardino</w:t>
      </w:r>
      <w:proofErr w:type="spellEnd"/>
      <w:r>
        <w:rPr>
          <w:lang w:val="en-GB"/>
        </w:rPr>
        <w:t xml:space="preserve"> G, Worth A, </w:t>
      </w:r>
      <w:proofErr w:type="spellStart"/>
      <w:r>
        <w:rPr>
          <w:lang w:val="en-GB"/>
        </w:rPr>
        <w:t>Ladomenou</w:t>
      </w:r>
      <w:proofErr w:type="spellEnd"/>
      <w:r>
        <w:rPr>
          <w:lang w:val="en-GB"/>
        </w:rPr>
        <w:t xml:space="preserve"> F. Risk factors predisposing to the development of hypogammaglobulinemia and infections post-Rituximab. Int Rev Immunol. </w:t>
      </w:r>
      <w:proofErr w:type="gramStart"/>
      <w:r>
        <w:rPr>
          <w:lang w:val="en-GB"/>
        </w:rPr>
        <w:t>2017;36:352</w:t>
      </w:r>
      <w:proofErr w:type="gramEnd"/>
      <w:r>
        <w:rPr>
          <w:lang w:val="en-GB"/>
        </w:rPr>
        <w:t>–359.</w:t>
      </w:r>
    </w:p>
    <w:p w14:paraId="3472F385" w14:textId="77777777" w:rsidR="00CD47F8" w:rsidRPr="006052F0" w:rsidRDefault="00CD47F8" w:rsidP="00CD47F8">
      <w:pPr>
        <w:pStyle w:val="CitaviBibliographyEntry"/>
      </w:pPr>
      <w:bookmarkStart w:id="12" w:name="_CTVL0019f3aa80745ff4c999c69dd477cfca86f"/>
      <w:bookmarkEnd w:id="11"/>
      <w:r>
        <w:rPr>
          <w:lang w:val="en-GB"/>
        </w:rPr>
        <w:t>e13.</w:t>
      </w:r>
      <w:r>
        <w:rPr>
          <w:lang w:val="en-GB"/>
        </w:rPr>
        <w:tab/>
      </w:r>
      <w:proofErr w:type="spellStart"/>
      <w:r>
        <w:rPr>
          <w:lang w:val="en-GB"/>
        </w:rPr>
        <w:t>Nylund</w:t>
      </w:r>
      <w:proofErr w:type="spellEnd"/>
      <w:r>
        <w:rPr>
          <w:lang w:val="en-GB"/>
        </w:rPr>
        <w:t xml:space="preserve"> M, </w:t>
      </w:r>
      <w:proofErr w:type="spellStart"/>
      <w:r>
        <w:rPr>
          <w:lang w:val="en-GB"/>
        </w:rPr>
        <w:t>Vuorinen</w:t>
      </w:r>
      <w:proofErr w:type="spellEnd"/>
      <w:r>
        <w:rPr>
          <w:lang w:val="en-GB"/>
        </w:rPr>
        <w:t xml:space="preserve"> T, </w:t>
      </w:r>
      <w:proofErr w:type="spellStart"/>
      <w:r>
        <w:rPr>
          <w:lang w:val="en-GB"/>
        </w:rPr>
        <w:t>Airas</w:t>
      </w:r>
      <w:proofErr w:type="spellEnd"/>
      <w:r>
        <w:rPr>
          <w:lang w:val="en-GB"/>
        </w:rPr>
        <w:t xml:space="preserve"> L. Drug reaction with eosinophilia and systemic symptoms after ocrelizumab therapy. </w:t>
      </w:r>
      <w:r w:rsidRPr="006052F0">
        <w:t>Mult Scler Relat Disord. 2020;42:102058.</w:t>
      </w:r>
    </w:p>
    <w:p w14:paraId="38F50364" w14:textId="77777777" w:rsidR="00CD47F8" w:rsidRDefault="00CD47F8" w:rsidP="00CD47F8">
      <w:pPr>
        <w:pStyle w:val="CitaviBibliographyEntry"/>
        <w:rPr>
          <w:lang w:val="en-GB"/>
        </w:rPr>
      </w:pPr>
      <w:bookmarkStart w:id="13" w:name="_CTVL00187c06cb542a14e44a9d5a34f6cdfb458"/>
      <w:bookmarkEnd w:id="12"/>
      <w:r w:rsidRPr="006052F0">
        <w:t>e14.</w:t>
      </w:r>
      <w:r w:rsidRPr="006052F0">
        <w:tab/>
        <w:t xml:space="preserve">Das G, Damotte V, Gelfand JM, et al. </w:t>
      </w:r>
      <w:r>
        <w:rPr>
          <w:lang w:val="en-GB"/>
        </w:rPr>
        <w:t xml:space="preserve">Rituximab before and during pregnancy: A systematic review, and a case series in MS and NMOSD. </w:t>
      </w:r>
      <w:proofErr w:type="spellStart"/>
      <w:r>
        <w:rPr>
          <w:lang w:val="en-GB"/>
        </w:rPr>
        <w:t>Neurol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Neuroimmunol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Neuroinflamm</w:t>
      </w:r>
      <w:proofErr w:type="spellEnd"/>
      <w:r>
        <w:rPr>
          <w:lang w:val="en-GB"/>
        </w:rPr>
        <w:t>. 2018;</w:t>
      </w:r>
      <w:proofErr w:type="gramStart"/>
      <w:r>
        <w:rPr>
          <w:lang w:val="en-GB"/>
        </w:rPr>
        <w:t>5:e</w:t>
      </w:r>
      <w:proofErr w:type="gramEnd"/>
      <w:r>
        <w:rPr>
          <w:lang w:val="en-GB"/>
        </w:rPr>
        <w:t>453.</w:t>
      </w:r>
    </w:p>
    <w:p w14:paraId="2A8FF782" w14:textId="77777777" w:rsidR="00CD47F8" w:rsidRDefault="00CD47F8" w:rsidP="00CD47F8">
      <w:pPr>
        <w:pStyle w:val="CitaviBibliographyEntry"/>
        <w:rPr>
          <w:lang w:val="en-GB"/>
        </w:rPr>
      </w:pPr>
      <w:bookmarkStart w:id="14" w:name="_CTVL0016fe846a376404b329f923e3720fc3eac"/>
      <w:bookmarkEnd w:id="13"/>
      <w:r>
        <w:rPr>
          <w:lang w:val="en-GB"/>
        </w:rPr>
        <w:t>e15.</w:t>
      </w:r>
      <w:r>
        <w:rPr>
          <w:lang w:val="en-GB"/>
        </w:rPr>
        <w:tab/>
      </w:r>
      <w:proofErr w:type="spellStart"/>
      <w:r>
        <w:rPr>
          <w:lang w:val="en-GB"/>
        </w:rPr>
        <w:t>Ciplea</w:t>
      </w:r>
      <w:proofErr w:type="spellEnd"/>
      <w:r>
        <w:rPr>
          <w:lang w:val="en-GB"/>
        </w:rPr>
        <w:t xml:space="preserve"> AI, Langer-Gould A, Vries A de, et al. Monoclonal antibody treatment during pregnancy and/or lactation in women with MS or neuromyelitis </w:t>
      </w:r>
      <w:proofErr w:type="spellStart"/>
      <w:r>
        <w:rPr>
          <w:lang w:val="en-GB"/>
        </w:rPr>
        <w:t>optica</w:t>
      </w:r>
      <w:proofErr w:type="spellEnd"/>
      <w:r>
        <w:rPr>
          <w:lang w:val="en-GB"/>
        </w:rPr>
        <w:t xml:space="preserve"> spectrum disorder. </w:t>
      </w:r>
      <w:proofErr w:type="spellStart"/>
      <w:r>
        <w:rPr>
          <w:lang w:val="en-GB"/>
        </w:rPr>
        <w:t>Neurol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Neuroimmunol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Neuroinflamm</w:t>
      </w:r>
      <w:proofErr w:type="spellEnd"/>
      <w:r>
        <w:rPr>
          <w:lang w:val="en-GB"/>
        </w:rPr>
        <w:t>. 2020;7.</w:t>
      </w:r>
    </w:p>
    <w:p w14:paraId="70170A71" w14:textId="77777777" w:rsidR="00CD47F8" w:rsidRDefault="00CD47F8" w:rsidP="00CD47F8">
      <w:pPr>
        <w:pStyle w:val="CitaviBibliographyEntry"/>
        <w:rPr>
          <w:lang w:val="en-GB"/>
        </w:rPr>
      </w:pPr>
      <w:bookmarkStart w:id="15" w:name="_CTVL001f1df33b22330423c88f46b8c58762a75"/>
      <w:bookmarkEnd w:id="14"/>
      <w:r>
        <w:rPr>
          <w:lang w:val="en-GB"/>
        </w:rPr>
        <w:t>e16.</w:t>
      </w:r>
      <w:r>
        <w:rPr>
          <w:lang w:val="en-GB"/>
        </w:rPr>
        <w:tab/>
      </w:r>
      <w:proofErr w:type="spellStart"/>
      <w:r>
        <w:rPr>
          <w:lang w:val="en-GB"/>
        </w:rPr>
        <w:t>Memon</w:t>
      </w:r>
      <w:proofErr w:type="spellEnd"/>
      <w:r>
        <w:rPr>
          <w:lang w:val="en-GB"/>
        </w:rPr>
        <w:t xml:space="preserve"> AB, </w:t>
      </w:r>
      <w:proofErr w:type="spellStart"/>
      <w:r>
        <w:rPr>
          <w:lang w:val="en-GB"/>
        </w:rPr>
        <w:t>Javed</w:t>
      </w:r>
      <w:proofErr w:type="spellEnd"/>
      <w:r>
        <w:rPr>
          <w:lang w:val="en-GB"/>
        </w:rPr>
        <w:t xml:space="preserve"> A, </w:t>
      </w:r>
      <w:proofErr w:type="spellStart"/>
      <w:r>
        <w:rPr>
          <w:lang w:val="en-GB"/>
        </w:rPr>
        <w:t>Caon</w:t>
      </w:r>
      <w:proofErr w:type="spellEnd"/>
      <w:r>
        <w:rPr>
          <w:lang w:val="en-GB"/>
        </w:rPr>
        <w:t xml:space="preserve"> C, et al. Long-term safety of rituximab induced peripheral B-cell depletion in autoimmune neurological diseases. </w:t>
      </w:r>
      <w:proofErr w:type="spellStart"/>
      <w:r>
        <w:rPr>
          <w:lang w:val="en-GB"/>
        </w:rPr>
        <w:t>PLoS</w:t>
      </w:r>
      <w:proofErr w:type="spellEnd"/>
      <w:r>
        <w:rPr>
          <w:lang w:val="en-GB"/>
        </w:rPr>
        <w:t xml:space="preserve"> ONE. 2018;</w:t>
      </w:r>
      <w:proofErr w:type="gramStart"/>
      <w:r>
        <w:rPr>
          <w:lang w:val="en-GB"/>
        </w:rPr>
        <w:t>13:e</w:t>
      </w:r>
      <w:proofErr w:type="gramEnd"/>
      <w:r>
        <w:rPr>
          <w:lang w:val="en-GB"/>
        </w:rPr>
        <w:t>0190425.</w:t>
      </w:r>
    </w:p>
    <w:p w14:paraId="3EF8978C" w14:textId="77777777" w:rsidR="00CD47F8" w:rsidRDefault="00CD47F8" w:rsidP="00CD47F8">
      <w:pPr>
        <w:pStyle w:val="CitaviBibliographyEntry"/>
        <w:rPr>
          <w:lang w:val="en-GB"/>
        </w:rPr>
      </w:pPr>
      <w:bookmarkStart w:id="16" w:name="_CTVL001fc944a72dbad4cb9be176432efb36f52"/>
      <w:bookmarkEnd w:id="15"/>
      <w:r>
        <w:rPr>
          <w:lang w:val="en-GB"/>
        </w:rPr>
        <w:t>e17.</w:t>
      </w:r>
      <w:r>
        <w:rPr>
          <w:lang w:val="en-GB"/>
        </w:rPr>
        <w:tab/>
      </w:r>
      <w:proofErr w:type="spellStart"/>
      <w:r>
        <w:rPr>
          <w:lang w:val="en-GB"/>
        </w:rPr>
        <w:t>Abushouk</w:t>
      </w:r>
      <w:proofErr w:type="spellEnd"/>
      <w:r>
        <w:rPr>
          <w:lang w:val="en-GB"/>
        </w:rPr>
        <w:t xml:space="preserve"> AI, Ahmed H, Ismail A, et al. Safety and efficacy of ocrelizumab in rheumatoid arthritis patients with an inadequate response to methotrexate or </w:t>
      </w:r>
      <w:proofErr w:type="spellStart"/>
      <w:r>
        <w:rPr>
          <w:lang w:val="en-GB"/>
        </w:rPr>
        <w:t>tumor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lastRenderedPageBreak/>
        <w:t xml:space="preserve">necrosis factor inhibitors: a systematic review and meta-analysis. </w:t>
      </w:r>
      <w:proofErr w:type="spellStart"/>
      <w:r>
        <w:rPr>
          <w:lang w:val="en-GB"/>
        </w:rPr>
        <w:t>Rheumatol</w:t>
      </w:r>
      <w:proofErr w:type="spellEnd"/>
      <w:r>
        <w:rPr>
          <w:lang w:val="en-GB"/>
        </w:rPr>
        <w:t xml:space="preserve"> Int. </w:t>
      </w:r>
      <w:proofErr w:type="gramStart"/>
      <w:r>
        <w:rPr>
          <w:lang w:val="en-GB"/>
        </w:rPr>
        <w:t>2017;37:1053</w:t>
      </w:r>
      <w:proofErr w:type="gramEnd"/>
      <w:r>
        <w:rPr>
          <w:lang w:val="en-GB"/>
        </w:rPr>
        <w:t>–1064.</w:t>
      </w:r>
    </w:p>
    <w:p w14:paraId="61DAB17F" w14:textId="77777777" w:rsidR="00CD47F8" w:rsidRPr="006052F0" w:rsidRDefault="00CD47F8" w:rsidP="00CD47F8">
      <w:pPr>
        <w:pStyle w:val="CitaviBibliographyEntry"/>
      </w:pPr>
      <w:bookmarkStart w:id="17" w:name="_CTVL001ce77eca93705423996ffe43b2b028be7"/>
      <w:bookmarkEnd w:id="16"/>
      <w:r>
        <w:rPr>
          <w:lang w:val="en-GB"/>
        </w:rPr>
        <w:t>e18.</w:t>
      </w:r>
      <w:r>
        <w:rPr>
          <w:lang w:val="en-GB"/>
        </w:rPr>
        <w:tab/>
        <w:t xml:space="preserve">Conte WL, Arndt N, Cipriani VP, </w:t>
      </w:r>
      <w:proofErr w:type="spellStart"/>
      <w:r>
        <w:rPr>
          <w:lang w:val="en-GB"/>
        </w:rPr>
        <w:t>Dellaria</w:t>
      </w:r>
      <w:proofErr w:type="spellEnd"/>
      <w:r>
        <w:rPr>
          <w:lang w:val="en-GB"/>
        </w:rPr>
        <w:t xml:space="preserve"> A, </w:t>
      </w:r>
      <w:proofErr w:type="spellStart"/>
      <w:r>
        <w:rPr>
          <w:lang w:val="en-GB"/>
        </w:rPr>
        <w:t>Javed</w:t>
      </w:r>
      <w:proofErr w:type="spellEnd"/>
      <w:r>
        <w:rPr>
          <w:lang w:val="en-GB"/>
        </w:rPr>
        <w:t xml:space="preserve"> A. Reduction in ocrelizumab-induced infusion reactions by a modified premedication protocol. </w:t>
      </w:r>
      <w:r w:rsidRPr="006052F0">
        <w:t>Mult Scler Relat Disord. 2018;27:397–399.</w:t>
      </w:r>
    </w:p>
    <w:p w14:paraId="1DD83499" w14:textId="77777777" w:rsidR="00CD47F8" w:rsidRDefault="00CD47F8" w:rsidP="00CD47F8">
      <w:pPr>
        <w:pStyle w:val="CitaviBibliographyEntry"/>
        <w:rPr>
          <w:lang w:val="en-GB"/>
        </w:rPr>
      </w:pPr>
      <w:bookmarkStart w:id="18" w:name="_CTVL001dd6d1a4df10a4523ae6f31ec9347a18e"/>
      <w:bookmarkEnd w:id="17"/>
      <w:r w:rsidRPr="006052F0">
        <w:t>e19.</w:t>
      </w:r>
      <w:r w:rsidRPr="006052F0">
        <w:tab/>
        <w:t xml:space="preserve">Bergman J, Burman J, Gilthorpe JD, et al. </w:t>
      </w:r>
      <w:r>
        <w:rPr>
          <w:lang w:val="en-GB"/>
        </w:rPr>
        <w:t>Intrathecal treatment trial of rituximab in progressive MS: An open-label phase 1b study. Neurology. 2018;</w:t>
      </w:r>
      <w:proofErr w:type="gramStart"/>
      <w:r>
        <w:rPr>
          <w:lang w:val="en-GB"/>
        </w:rPr>
        <w:t>91:e</w:t>
      </w:r>
      <w:proofErr w:type="gramEnd"/>
      <w:r>
        <w:rPr>
          <w:lang w:val="en-GB"/>
        </w:rPr>
        <w:t>1893-e1901.</w:t>
      </w:r>
    </w:p>
    <w:p w14:paraId="0A6694CC" w14:textId="77777777" w:rsidR="00CD47F8" w:rsidRDefault="00CD47F8" w:rsidP="00CD47F8">
      <w:pPr>
        <w:pStyle w:val="CitaviBibliographyEntry"/>
        <w:rPr>
          <w:lang w:val="en-GB"/>
        </w:rPr>
      </w:pPr>
      <w:bookmarkStart w:id="19" w:name="_CTVL00159f57130db134caca2322d97947fedd4"/>
      <w:bookmarkEnd w:id="18"/>
      <w:r>
        <w:rPr>
          <w:lang w:val="en-GB"/>
        </w:rPr>
        <w:t>e20.</w:t>
      </w:r>
      <w:r>
        <w:rPr>
          <w:lang w:val="en-GB"/>
        </w:rPr>
        <w:tab/>
      </w:r>
      <w:proofErr w:type="spellStart"/>
      <w:r>
        <w:rPr>
          <w:lang w:val="en-GB"/>
        </w:rPr>
        <w:t>Pourcher</w:t>
      </w:r>
      <w:proofErr w:type="spellEnd"/>
      <w:r>
        <w:rPr>
          <w:lang w:val="en-GB"/>
        </w:rPr>
        <w:t xml:space="preserve"> V. What are the infectious risks with disease-modifying drugs for multiple sclerosis and how to reduce them? A review of literature. Rev </w:t>
      </w:r>
      <w:proofErr w:type="spellStart"/>
      <w:r>
        <w:rPr>
          <w:lang w:val="en-GB"/>
        </w:rPr>
        <w:t>Neurol</w:t>
      </w:r>
      <w:proofErr w:type="spellEnd"/>
      <w:r>
        <w:rPr>
          <w:lang w:val="en-GB"/>
        </w:rPr>
        <w:t xml:space="preserve"> (Paris). </w:t>
      </w:r>
      <w:proofErr w:type="gramStart"/>
      <w:r>
        <w:rPr>
          <w:lang w:val="en-GB"/>
        </w:rPr>
        <w:t>2020;176:235</w:t>
      </w:r>
      <w:proofErr w:type="gramEnd"/>
      <w:r>
        <w:rPr>
          <w:lang w:val="en-GB"/>
        </w:rPr>
        <w:t>–243.</w:t>
      </w:r>
    </w:p>
    <w:p w14:paraId="1C6706F7" w14:textId="77777777" w:rsidR="00CD47F8" w:rsidRPr="006052F0" w:rsidRDefault="00CD47F8" w:rsidP="00CD47F8">
      <w:pPr>
        <w:pStyle w:val="CitaviBibliographyEntry"/>
      </w:pPr>
      <w:bookmarkStart w:id="20" w:name="_CTVL0011a6ff63fb6aa4dc39c73896588610a21"/>
      <w:bookmarkEnd w:id="19"/>
      <w:r>
        <w:rPr>
          <w:lang w:val="en-GB"/>
        </w:rPr>
        <w:t>e21.</w:t>
      </w:r>
      <w:r>
        <w:rPr>
          <w:lang w:val="en-GB"/>
        </w:rPr>
        <w:tab/>
      </w:r>
      <w:proofErr w:type="spellStart"/>
      <w:r>
        <w:rPr>
          <w:lang w:val="en-GB"/>
        </w:rPr>
        <w:t>Förster</w:t>
      </w:r>
      <w:proofErr w:type="spellEnd"/>
      <w:r>
        <w:rPr>
          <w:lang w:val="en-GB"/>
        </w:rPr>
        <w:t xml:space="preserve"> M, </w:t>
      </w:r>
      <w:proofErr w:type="spellStart"/>
      <w:r>
        <w:rPr>
          <w:lang w:val="en-GB"/>
        </w:rPr>
        <w:t>Küry</w:t>
      </w:r>
      <w:proofErr w:type="spellEnd"/>
      <w:r>
        <w:rPr>
          <w:lang w:val="en-GB"/>
        </w:rPr>
        <w:t xml:space="preserve"> P, Aktas O, et al. Managing Risks with Immune Therapies in Multiple Sclerosis. </w:t>
      </w:r>
      <w:r w:rsidRPr="006052F0">
        <w:t>Drug Saf. 2019;42:633–647.</w:t>
      </w:r>
    </w:p>
    <w:p w14:paraId="3782F5B1" w14:textId="77777777" w:rsidR="00CD47F8" w:rsidRDefault="00CD47F8" w:rsidP="00CD47F8">
      <w:pPr>
        <w:pStyle w:val="CitaviBibliographyEntry"/>
        <w:rPr>
          <w:lang w:val="en-GB"/>
        </w:rPr>
      </w:pPr>
      <w:bookmarkStart w:id="21" w:name="_CTVL001058202b03e394a6abc66ae5d5dae2b4e"/>
      <w:bookmarkEnd w:id="20"/>
      <w:r w:rsidRPr="006052F0">
        <w:t>e22.</w:t>
      </w:r>
      <w:r w:rsidRPr="006052F0">
        <w:tab/>
        <w:t xml:space="preserve">Zappulo E, Buonomo AR, Saccà F, et al. </w:t>
      </w:r>
      <w:r>
        <w:rPr>
          <w:lang w:val="en-GB"/>
        </w:rPr>
        <w:t xml:space="preserve">Incidence and Predictive Risk Factors of Infective Events in Patients </w:t>
      </w: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Multiple Sclerosis Treated With Agents Targeting CD20 and CD52 Surface Antigens. Open Forum Infect Dis. 2019;</w:t>
      </w:r>
      <w:proofErr w:type="gramStart"/>
      <w:r>
        <w:rPr>
          <w:lang w:val="en-GB"/>
        </w:rPr>
        <w:t>6:ofz</w:t>
      </w:r>
      <w:proofErr w:type="gramEnd"/>
      <w:r>
        <w:rPr>
          <w:lang w:val="en-GB"/>
        </w:rPr>
        <w:t>445.</w:t>
      </w:r>
    </w:p>
    <w:p w14:paraId="3618577A" w14:textId="77777777" w:rsidR="00CD47F8" w:rsidRDefault="00CD47F8" w:rsidP="00CD47F8">
      <w:pPr>
        <w:pStyle w:val="CitaviBibliographyEntry"/>
        <w:rPr>
          <w:lang w:val="en-GB"/>
        </w:rPr>
      </w:pPr>
      <w:bookmarkStart w:id="22" w:name="_CTVL00191741964aad14f478df6f77c511e55e3"/>
      <w:bookmarkEnd w:id="21"/>
      <w:r>
        <w:rPr>
          <w:lang w:val="en-GB"/>
        </w:rPr>
        <w:t>e23.</w:t>
      </w:r>
      <w:r>
        <w:rPr>
          <w:lang w:val="en-GB"/>
        </w:rPr>
        <w:tab/>
        <w:t xml:space="preserve">Willis MD, Robertson NP. Multiple sclerosis and the risk of infection: considerations in the threat of the novel coronavirus, COVID-19/SARS-CoV-2. J Neurol. </w:t>
      </w:r>
      <w:proofErr w:type="gramStart"/>
      <w:r>
        <w:rPr>
          <w:lang w:val="en-GB"/>
        </w:rPr>
        <w:t>2020;267:1567</w:t>
      </w:r>
      <w:proofErr w:type="gramEnd"/>
      <w:r>
        <w:rPr>
          <w:lang w:val="en-GB"/>
        </w:rPr>
        <w:t>–1569.</w:t>
      </w:r>
    </w:p>
    <w:p w14:paraId="5EE0A46E" w14:textId="77777777" w:rsidR="00CD47F8" w:rsidRPr="006052F0" w:rsidRDefault="00CD47F8" w:rsidP="00CD47F8">
      <w:pPr>
        <w:pStyle w:val="CitaviBibliographyEntry"/>
      </w:pPr>
      <w:bookmarkStart w:id="23" w:name="_CTVL0012cdf4a2719bb4ce1b2b12c2124e534de"/>
      <w:bookmarkEnd w:id="22"/>
      <w:r>
        <w:rPr>
          <w:lang w:val="en-GB"/>
        </w:rPr>
        <w:t>e24.</w:t>
      </w:r>
      <w:r>
        <w:rPr>
          <w:lang w:val="en-GB"/>
        </w:rPr>
        <w:tab/>
        <w:t xml:space="preserve">Hughes R, </w:t>
      </w:r>
      <w:proofErr w:type="spellStart"/>
      <w:r>
        <w:rPr>
          <w:lang w:val="en-GB"/>
        </w:rPr>
        <w:t>Pedotti</w:t>
      </w:r>
      <w:proofErr w:type="spellEnd"/>
      <w:r>
        <w:rPr>
          <w:lang w:val="en-GB"/>
        </w:rPr>
        <w:t xml:space="preserve"> R, </w:t>
      </w:r>
      <w:proofErr w:type="spellStart"/>
      <w:r>
        <w:rPr>
          <w:lang w:val="en-GB"/>
        </w:rPr>
        <w:t>Koendgen</w:t>
      </w:r>
      <w:proofErr w:type="spellEnd"/>
      <w:r>
        <w:rPr>
          <w:lang w:val="en-GB"/>
        </w:rPr>
        <w:t xml:space="preserve"> H. COVID-19 in persons with multiple sclerosis treated with ocrelizumab - a pharmacovigilance case series. </w:t>
      </w:r>
      <w:r w:rsidRPr="006052F0">
        <w:t>Mult Scler Relat Disord. 2020:102192.</w:t>
      </w:r>
    </w:p>
    <w:p w14:paraId="6B110A3E" w14:textId="77777777" w:rsidR="00CD47F8" w:rsidRDefault="00CD47F8" w:rsidP="00CD47F8">
      <w:pPr>
        <w:pStyle w:val="CitaviBibliographyEntry"/>
        <w:rPr>
          <w:lang w:val="en-GB"/>
        </w:rPr>
      </w:pPr>
      <w:bookmarkStart w:id="24" w:name="_CTVL0011f5f11eb83174aa3bc75eb32b14b88fc"/>
      <w:bookmarkEnd w:id="23"/>
      <w:r w:rsidRPr="006052F0">
        <w:lastRenderedPageBreak/>
        <w:t>e25.</w:t>
      </w:r>
      <w:r w:rsidRPr="006052F0">
        <w:tab/>
        <w:t xml:space="preserve">Novi G, Mikulska M, Briano F, et al. </w:t>
      </w:r>
      <w:r>
        <w:rPr>
          <w:lang w:val="en-GB"/>
        </w:rPr>
        <w:t xml:space="preserve">COVID-19 in a MS patient treated with ocrelizumab: does immunosuppression have a protective role? </w:t>
      </w:r>
      <w:proofErr w:type="spellStart"/>
      <w:r>
        <w:rPr>
          <w:lang w:val="en-GB"/>
        </w:rPr>
        <w:t>Mult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Relat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Disord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2020;42:102120</w:t>
      </w:r>
      <w:proofErr w:type="gramEnd"/>
      <w:r>
        <w:rPr>
          <w:lang w:val="en-GB"/>
        </w:rPr>
        <w:t>.</w:t>
      </w:r>
    </w:p>
    <w:p w14:paraId="07C2D726" w14:textId="77777777" w:rsidR="00CD47F8" w:rsidRDefault="00CD47F8" w:rsidP="00CD47F8">
      <w:pPr>
        <w:pStyle w:val="CitaviBibliographyEntry"/>
        <w:rPr>
          <w:lang w:val="en-GB"/>
        </w:rPr>
      </w:pPr>
      <w:bookmarkStart w:id="25" w:name="_CTVL0016a752025ee43499da2e8e96923065945"/>
      <w:bookmarkEnd w:id="24"/>
      <w:r>
        <w:rPr>
          <w:lang w:val="en-GB"/>
        </w:rPr>
        <w:t>e26.</w:t>
      </w:r>
      <w:r>
        <w:rPr>
          <w:lang w:val="en-GB"/>
        </w:rPr>
        <w:tab/>
        <w:t>Montero-</w:t>
      </w:r>
      <w:proofErr w:type="spellStart"/>
      <w:r>
        <w:rPr>
          <w:lang w:val="en-GB"/>
        </w:rPr>
        <w:t>Escribano</w:t>
      </w:r>
      <w:proofErr w:type="spellEnd"/>
      <w:r>
        <w:rPr>
          <w:lang w:val="en-GB"/>
        </w:rPr>
        <w:t xml:space="preserve"> P, </w:t>
      </w:r>
      <w:proofErr w:type="spellStart"/>
      <w:r>
        <w:rPr>
          <w:lang w:val="en-GB"/>
        </w:rPr>
        <w:t>Matías-Guiu</w:t>
      </w:r>
      <w:proofErr w:type="spellEnd"/>
      <w:r>
        <w:rPr>
          <w:lang w:val="en-GB"/>
        </w:rPr>
        <w:t xml:space="preserve"> J, Gómez-Iglesias P, Porta-</w:t>
      </w:r>
      <w:proofErr w:type="spellStart"/>
      <w:r>
        <w:rPr>
          <w:lang w:val="en-GB"/>
        </w:rPr>
        <w:t>Etessam</w:t>
      </w:r>
      <w:proofErr w:type="spellEnd"/>
      <w:r>
        <w:rPr>
          <w:lang w:val="en-GB"/>
        </w:rPr>
        <w:t xml:space="preserve"> J, </w:t>
      </w:r>
      <w:proofErr w:type="spellStart"/>
      <w:r>
        <w:rPr>
          <w:lang w:val="en-GB"/>
        </w:rPr>
        <w:t>Pytel</w:t>
      </w:r>
      <w:proofErr w:type="spellEnd"/>
      <w:r>
        <w:rPr>
          <w:lang w:val="en-GB"/>
        </w:rPr>
        <w:t xml:space="preserve"> V, Matias-</w:t>
      </w:r>
      <w:proofErr w:type="spellStart"/>
      <w:r>
        <w:rPr>
          <w:lang w:val="en-GB"/>
        </w:rPr>
        <w:t>Guiu</w:t>
      </w:r>
      <w:proofErr w:type="spellEnd"/>
      <w:r>
        <w:rPr>
          <w:lang w:val="en-GB"/>
        </w:rPr>
        <w:t xml:space="preserve"> JA. Anti-CD20 and COVID-19 in multiple sclerosis and related disorders: A case series of 60 patients from Madrid, Spain. </w:t>
      </w:r>
      <w:proofErr w:type="spellStart"/>
      <w:r>
        <w:rPr>
          <w:lang w:val="en-GB"/>
        </w:rPr>
        <w:t>Mult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Relat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Disord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2020;42:102185</w:t>
      </w:r>
      <w:proofErr w:type="gramEnd"/>
      <w:r>
        <w:rPr>
          <w:lang w:val="en-GB"/>
        </w:rPr>
        <w:t>.</w:t>
      </w:r>
    </w:p>
    <w:p w14:paraId="58C49290" w14:textId="77777777" w:rsidR="00CD47F8" w:rsidRDefault="00CD47F8" w:rsidP="00CD47F8">
      <w:pPr>
        <w:pStyle w:val="CitaviBibliographyEntry"/>
        <w:rPr>
          <w:lang w:val="en-GB"/>
        </w:rPr>
      </w:pPr>
      <w:bookmarkStart w:id="26" w:name="_CTVL0015507af622539453f9a38da37de645bf4"/>
      <w:bookmarkEnd w:id="25"/>
      <w:r>
        <w:rPr>
          <w:lang w:val="en-GB"/>
        </w:rPr>
        <w:t>e27.</w:t>
      </w:r>
      <w:r>
        <w:rPr>
          <w:lang w:val="en-GB"/>
        </w:rPr>
        <w:tab/>
      </w:r>
      <w:proofErr w:type="spellStart"/>
      <w:r>
        <w:rPr>
          <w:lang w:val="en-GB"/>
        </w:rPr>
        <w:t>Louapre</w:t>
      </w:r>
      <w:proofErr w:type="spellEnd"/>
      <w:r>
        <w:rPr>
          <w:lang w:val="en-GB"/>
        </w:rPr>
        <w:t xml:space="preserve"> C, </w:t>
      </w:r>
      <w:proofErr w:type="spellStart"/>
      <w:r>
        <w:rPr>
          <w:lang w:val="en-GB"/>
        </w:rPr>
        <w:t>Collongues</w:t>
      </w:r>
      <w:proofErr w:type="spellEnd"/>
      <w:r>
        <w:rPr>
          <w:lang w:val="en-GB"/>
        </w:rPr>
        <w:t xml:space="preserve"> N, </w:t>
      </w:r>
      <w:proofErr w:type="spellStart"/>
      <w:r>
        <w:rPr>
          <w:lang w:val="en-GB"/>
        </w:rPr>
        <w:t>Stankoff</w:t>
      </w:r>
      <w:proofErr w:type="spellEnd"/>
      <w:r>
        <w:rPr>
          <w:lang w:val="en-GB"/>
        </w:rPr>
        <w:t xml:space="preserve"> B, et al. Clinical Characteristics and Outcomes in Patients </w:t>
      </w: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Coronavirus Disease 2019 and Multiple Sclerosis. JAMA Neurol. 2020:in press.</w:t>
      </w:r>
    </w:p>
    <w:p w14:paraId="08377C47" w14:textId="77777777" w:rsidR="00CD47F8" w:rsidRDefault="00CD47F8" w:rsidP="00CD47F8">
      <w:pPr>
        <w:pStyle w:val="CitaviBibliographyEntry"/>
        <w:rPr>
          <w:lang w:val="en-GB"/>
        </w:rPr>
      </w:pPr>
      <w:bookmarkStart w:id="27" w:name="_CTVL001a6fbed85348946a3ae3cf628774e3514"/>
      <w:bookmarkEnd w:id="26"/>
      <w:r>
        <w:rPr>
          <w:lang w:val="en-GB"/>
        </w:rPr>
        <w:t>e28.</w:t>
      </w:r>
      <w:r>
        <w:rPr>
          <w:lang w:val="en-GB"/>
        </w:rPr>
        <w:tab/>
      </w:r>
      <w:proofErr w:type="spellStart"/>
      <w:r>
        <w:rPr>
          <w:lang w:val="en-GB"/>
        </w:rPr>
        <w:t>Safavi</w:t>
      </w:r>
      <w:proofErr w:type="spellEnd"/>
      <w:r>
        <w:rPr>
          <w:lang w:val="en-GB"/>
        </w:rPr>
        <w:t xml:space="preserve"> F, </w:t>
      </w:r>
      <w:proofErr w:type="spellStart"/>
      <w:r>
        <w:rPr>
          <w:lang w:val="en-GB"/>
        </w:rPr>
        <w:t>Nourbakhsh</w:t>
      </w:r>
      <w:proofErr w:type="spellEnd"/>
      <w:r>
        <w:rPr>
          <w:lang w:val="en-GB"/>
        </w:rPr>
        <w:t xml:space="preserve"> B, </w:t>
      </w:r>
      <w:proofErr w:type="spellStart"/>
      <w:r>
        <w:rPr>
          <w:lang w:val="en-GB"/>
        </w:rPr>
        <w:t>Azimi</w:t>
      </w:r>
      <w:proofErr w:type="spellEnd"/>
      <w:r>
        <w:rPr>
          <w:lang w:val="en-GB"/>
        </w:rPr>
        <w:t xml:space="preserve"> AR. B-cell depleting therapies may affect susceptibility to acute respiratory illness among patients with Multiple Sclerosis during the early COVID-19 epidemic in Iran. </w:t>
      </w:r>
      <w:proofErr w:type="spellStart"/>
      <w:r>
        <w:rPr>
          <w:lang w:val="en-GB"/>
        </w:rPr>
        <w:t>Mult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Relat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Disord</w:t>
      </w:r>
      <w:proofErr w:type="spellEnd"/>
      <w:r>
        <w:rPr>
          <w:lang w:val="en-GB"/>
        </w:rPr>
        <w:t>. 2020:102195.</w:t>
      </w:r>
    </w:p>
    <w:p w14:paraId="53A75ABA" w14:textId="7A6AB561" w:rsidR="00CD47F8" w:rsidRDefault="00CD47F8" w:rsidP="0074462D">
      <w:pPr>
        <w:pStyle w:val="CitaviBibliographyEntry"/>
        <w:rPr>
          <w:lang w:val="en-GB"/>
        </w:rPr>
      </w:pPr>
      <w:bookmarkStart w:id="28" w:name="_CTVL001a6850ef5fcf345d3a1e2530952a100d8"/>
      <w:bookmarkEnd w:id="27"/>
      <w:r>
        <w:rPr>
          <w:lang w:val="en-GB"/>
        </w:rPr>
        <w:t>e29.</w:t>
      </w:r>
      <w:r>
        <w:rPr>
          <w:lang w:val="en-GB"/>
        </w:rPr>
        <w:tab/>
      </w:r>
      <w:bookmarkStart w:id="29" w:name="_GoBack"/>
      <w:bookmarkEnd w:id="29"/>
      <w:proofErr w:type="spellStart"/>
      <w:r w:rsidR="0074462D" w:rsidRPr="0074462D">
        <w:rPr>
          <w:lang w:val="en-GB"/>
        </w:rPr>
        <w:t>Sormani</w:t>
      </w:r>
      <w:proofErr w:type="spellEnd"/>
      <w:r w:rsidR="0074462D" w:rsidRPr="0074462D">
        <w:rPr>
          <w:lang w:val="en-GB"/>
        </w:rPr>
        <w:t xml:space="preserve"> MP, de Rossi N; </w:t>
      </w:r>
      <w:proofErr w:type="spellStart"/>
      <w:r w:rsidR="0074462D" w:rsidRPr="0074462D">
        <w:rPr>
          <w:lang w:val="en-GB"/>
        </w:rPr>
        <w:t>Schiavetti</w:t>
      </w:r>
      <w:proofErr w:type="spellEnd"/>
      <w:r w:rsidR="0074462D" w:rsidRPr="0074462D">
        <w:rPr>
          <w:lang w:val="en-GB"/>
        </w:rPr>
        <w:t xml:space="preserve"> I, et al. Disease-modifying therapies and Covid-19 severity in Multiple Sclerosis. Ann </w:t>
      </w:r>
      <w:proofErr w:type="spellStart"/>
      <w:r w:rsidR="0074462D" w:rsidRPr="0074462D">
        <w:rPr>
          <w:lang w:val="en-GB"/>
        </w:rPr>
        <w:t>Neurol</w:t>
      </w:r>
      <w:proofErr w:type="spellEnd"/>
      <w:r w:rsidR="0074462D" w:rsidRPr="0074462D">
        <w:rPr>
          <w:lang w:val="en-GB"/>
        </w:rPr>
        <w:t xml:space="preserve"> (submitted)</w:t>
      </w:r>
    </w:p>
    <w:p w14:paraId="56506E7B" w14:textId="77777777" w:rsidR="00CD47F8" w:rsidRDefault="00CD47F8" w:rsidP="00CD47F8">
      <w:pPr>
        <w:pStyle w:val="CitaviBibliographyEntry"/>
        <w:rPr>
          <w:lang w:val="en-GB"/>
        </w:rPr>
      </w:pPr>
      <w:bookmarkStart w:id="30" w:name="_CTVL0010908885a00234c39ae4f4cb11d7905d9"/>
      <w:bookmarkEnd w:id="28"/>
      <w:r>
        <w:rPr>
          <w:lang w:val="en-GB"/>
        </w:rPr>
        <w:t>e30.</w:t>
      </w:r>
      <w:r>
        <w:rPr>
          <w:lang w:val="en-GB"/>
        </w:rPr>
        <w:tab/>
        <w:t xml:space="preserve">Valencia-Sanchez C, </w:t>
      </w:r>
      <w:proofErr w:type="spellStart"/>
      <w:r>
        <w:rPr>
          <w:lang w:val="en-GB"/>
        </w:rPr>
        <w:t>Wingerchuk</w:t>
      </w:r>
      <w:proofErr w:type="spellEnd"/>
      <w:r>
        <w:rPr>
          <w:lang w:val="en-GB"/>
        </w:rPr>
        <w:t xml:space="preserve"> DM. A fine balance: Immunosuppression and immunotherapy in a patient with multiple sclerosis and COVID-19. </w:t>
      </w:r>
      <w:proofErr w:type="spellStart"/>
      <w:r>
        <w:rPr>
          <w:lang w:val="en-GB"/>
        </w:rPr>
        <w:t>Mult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Relat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Disord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2020;42:102182</w:t>
      </w:r>
      <w:proofErr w:type="gramEnd"/>
      <w:r>
        <w:rPr>
          <w:lang w:val="en-GB"/>
        </w:rPr>
        <w:t>.</w:t>
      </w:r>
    </w:p>
    <w:p w14:paraId="66AB4783" w14:textId="77777777" w:rsidR="00CD47F8" w:rsidRDefault="00CD47F8" w:rsidP="00CD47F8">
      <w:pPr>
        <w:pStyle w:val="CitaviBibliographyEntry"/>
        <w:rPr>
          <w:lang w:val="en-GB"/>
        </w:rPr>
      </w:pPr>
      <w:bookmarkStart w:id="31" w:name="_CTVL0016f3811bf3f2744b69869e29fb1c46a2d"/>
      <w:bookmarkEnd w:id="30"/>
      <w:r>
        <w:rPr>
          <w:lang w:val="en-GB"/>
        </w:rPr>
        <w:t>e31.</w:t>
      </w:r>
      <w:r>
        <w:rPr>
          <w:lang w:val="en-GB"/>
        </w:rPr>
        <w:tab/>
        <w:t xml:space="preserve">Giovannoni G, Hawkes C, Lechner-Scott J, Levy M, </w:t>
      </w:r>
      <w:proofErr w:type="spellStart"/>
      <w:r>
        <w:rPr>
          <w:lang w:val="en-GB"/>
        </w:rPr>
        <w:t>Waubant</w:t>
      </w:r>
      <w:proofErr w:type="spellEnd"/>
      <w:r>
        <w:rPr>
          <w:lang w:val="en-GB"/>
        </w:rPr>
        <w:t xml:space="preserve"> E, Gold J. The COVID-19 pandemic and the use of MS disease-modifying therapies. </w:t>
      </w:r>
      <w:proofErr w:type="spellStart"/>
      <w:r>
        <w:rPr>
          <w:lang w:val="en-GB"/>
        </w:rPr>
        <w:t>Mult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Relat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Disord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2020;39:102073</w:t>
      </w:r>
      <w:proofErr w:type="gramEnd"/>
      <w:r>
        <w:rPr>
          <w:lang w:val="en-GB"/>
        </w:rPr>
        <w:t>.</w:t>
      </w:r>
    </w:p>
    <w:p w14:paraId="53E35CD5" w14:textId="77777777" w:rsidR="00CD47F8" w:rsidRDefault="00CD47F8" w:rsidP="00CD47F8">
      <w:pPr>
        <w:pStyle w:val="CitaviBibliographyEntry"/>
        <w:rPr>
          <w:lang w:val="en-GB"/>
        </w:rPr>
      </w:pPr>
      <w:bookmarkStart w:id="32" w:name="_CTVL0017ed0517c62e14a51a0aced3e582992be"/>
      <w:bookmarkEnd w:id="31"/>
      <w:r>
        <w:rPr>
          <w:lang w:val="en-GB"/>
        </w:rPr>
        <w:t>e32.</w:t>
      </w:r>
      <w:r>
        <w:rPr>
          <w:lang w:val="en-GB"/>
        </w:rPr>
        <w:tab/>
        <w:t xml:space="preserve">Berger JR, </w:t>
      </w:r>
      <w:proofErr w:type="spellStart"/>
      <w:r>
        <w:rPr>
          <w:lang w:val="en-GB"/>
        </w:rPr>
        <w:t>Brandstadter</w:t>
      </w:r>
      <w:proofErr w:type="spellEnd"/>
      <w:r>
        <w:rPr>
          <w:lang w:val="en-GB"/>
        </w:rPr>
        <w:t xml:space="preserve"> R, Bar-Or A. COVID-19 and MS disease-modifying therapies. </w:t>
      </w:r>
      <w:proofErr w:type="spellStart"/>
      <w:r>
        <w:rPr>
          <w:lang w:val="en-GB"/>
        </w:rPr>
        <w:t>Neurol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Neuroimmunol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Neuroinflamm</w:t>
      </w:r>
      <w:proofErr w:type="spellEnd"/>
      <w:r>
        <w:rPr>
          <w:lang w:val="en-GB"/>
        </w:rPr>
        <w:t>. 2020;7.</w:t>
      </w:r>
    </w:p>
    <w:p w14:paraId="546D34F7" w14:textId="77777777" w:rsidR="00CD47F8" w:rsidRDefault="00CD47F8" w:rsidP="00CD47F8">
      <w:pPr>
        <w:pStyle w:val="CitaviBibliographyEntry"/>
        <w:rPr>
          <w:lang w:val="en-GB"/>
        </w:rPr>
      </w:pPr>
      <w:bookmarkStart w:id="33" w:name="_CTVL001eee3d4e001584adaae6a906050ce2886"/>
      <w:bookmarkEnd w:id="32"/>
      <w:r>
        <w:rPr>
          <w:lang w:val="en-GB"/>
        </w:rPr>
        <w:lastRenderedPageBreak/>
        <w:t>e33.</w:t>
      </w:r>
      <w:r>
        <w:rPr>
          <w:lang w:val="en-GB"/>
        </w:rPr>
        <w:tab/>
        <w:t xml:space="preserve">Hartung H-P, Aktas O. COVID-19 and management of </w:t>
      </w:r>
      <w:proofErr w:type="spellStart"/>
      <w:r>
        <w:rPr>
          <w:lang w:val="en-GB"/>
        </w:rPr>
        <w:t>neuroimmunological</w:t>
      </w:r>
      <w:proofErr w:type="spellEnd"/>
      <w:r>
        <w:rPr>
          <w:lang w:val="en-GB"/>
        </w:rPr>
        <w:t xml:space="preserve"> disorders. Nat Rev Neurol. </w:t>
      </w:r>
      <w:proofErr w:type="gramStart"/>
      <w:r>
        <w:rPr>
          <w:lang w:val="en-GB"/>
        </w:rPr>
        <w:t>2020;16:347</w:t>
      </w:r>
      <w:proofErr w:type="gramEnd"/>
      <w:r>
        <w:rPr>
          <w:lang w:val="en-GB"/>
        </w:rPr>
        <w:t>–348.</w:t>
      </w:r>
    </w:p>
    <w:p w14:paraId="7C95BC8C" w14:textId="77777777" w:rsidR="00CD47F8" w:rsidRDefault="00CD47F8" w:rsidP="00CD47F8">
      <w:pPr>
        <w:pStyle w:val="CitaviBibliographyEntry"/>
        <w:rPr>
          <w:lang w:val="en-GB"/>
        </w:rPr>
      </w:pPr>
      <w:bookmarkStart w:id="34" w:name="_CTVL001448e8224bc7444919f2d0062a2942dae"/>
      <w:bookmarkEnd w:id="33"/>
      <w:r>
        <w:rPr>
          <w:lang w:val="en-GB"/>
        </w:rPr>
        <w:t>e34.</w:t>
      </w:r>
      <w:r>
        <w:rPr>
          <w:lang w:val="en-GB"/>
        </w:rPr>
        <w:tab/>
        <w:t xml:space="preserve">Chen D, Ireland SJ, Davis LS, et al. Autoreactive CD19+CD20- Plasma Cells Contribute to Disease Severity of Experimental Autoimmune Encephalomyelitis. J Immunol. </w:t>
      </w:r>
      <w:proofErr w:type="gramStart"/>
      <w:r>
        <w:rPr>
          <w:lang w:val="en-GB"/>
        </w:rPr>
        <w:t>2016;196:1541</w:t>
      </w:r>
      <w:proofErr w:type="gramEnd"/>
      <w:r>
        <w:rPr>
          <w:lang w:val="en-GB"/>
        </w:rPr>
        <w:t>–1549.</w:t>
      </w:r>
    </w:p>
    <w:p w14:paraId="176F3861" w14:textId="77777777" w:rsidR="00CD47F8" w:rsidRPr="006052F0" w:rsidRDefault="00CD47F8" w:rsidP="00CD47F8">
      <w:pPr>
        <w:pStyle w:val="CitaviBibliographyEntry"/>
      </w:pPr>
      <w:bookmarkStart w:id="35" w:name="_CTVL001307ab1c9a893477596194d1eacc1cdd4"/>
      <w:bookmarkEnd w:id="34"/>
      <w:r>
        <w:rPr>
          <w:lang w:val="en-GB"/>
        </w:rPr>
        <w:t>e35.</w:t>
      </w:r>
      <w:r>
        <w:rPr>
          <w:lang w:val="en-GB"/>
        </w:rPr>
        <w:tab/>
        <w:t xml:space="preserve">Baker D, </w:t>
      </w:r>
      <w:proofErr w:type="spellStart"/>
      <w:r>
        <w:rPr>
          <w:lang w:val="en-GB"/>
        </w:rPr>
        <w:t>Herrod</w:t>
      </w:r>
      <w:proofErr w:type="spellEnd"/>
      <w:r>
        <w:rPr>
          <w:lang w:val="en-GB"/>
        </w:rPr>
        <w:t xml:space="preserve"> SS, Alvarez-Gonzalez C, </w:t>
      </w:r>
      <w:proofErr w:type="spellStart"/>
      <w:r>
        <w:rPr>
          <w:lang w:val="en-GB"/>
        </w:rPr>
        <w:t>Zalewski</w:t>
      </w:r>
      <w:proofErr w:type="spellEnd"/>
      <w:r>
        <w:rPr>
          <w:lang w:val="en-GB"/>
        </w:rPr>
        <w:t xml:space="preserve"> L, </w:t>
      </w:r>
      <w:proofErr w:type="spellStart"/>
      <w:r>
        <w:rPr>
          <w:lang w:val="en-GB"/>
        </w:rPr>
        <w:t>Albor</w:t>
      </w:r>
      <w:proofErr w:type="spellEnd"/>
      <w:r>
        <w:rPr>
          <w:lang w:val="en-GB"/>
        </w:rPr>
        <w:t xml:space="preserve"> C, Schmierer K. Both cladribine and alemtuzumab may </w:t>
      </w:r>
      <w:proofErr w:type="gramStart"/>
      <w:r>
        <w:rPr>
          <w:lang w:val="en-GB"/>
        </w:rPr>
        <w:t>effect</w:t>
      </w:r>
      <w:proofErr w:type="gramEnd"/>
      <w:r>
        <w:rPr>
          <w:lang w:val="en-GB"/>
        </w:rPr>
        <w:t xml:space="preserve"> MS via B-cell depletion. </w:t>
      </w:r>
      <w:r w:rsidRPr="006052F0">
        <w:t>Neurol Neuroimmunol Neuroinflamm. 2017;4:e360.</w:t>
      </w:r>
    </w:p>
    <w:p w14:paraId="20D29BE9" w14:textId="77777777" w:rsidR="00CD47F8" w:rsidRDefault="00CD47F8" w:rsidP="00CD47F8">
      <w:pPr>
        <w:pStyle w:val="CitaviBibliographyEntry"/>
        <w:rPr>
          <w:lang w:val="en-GB"/>
        </w:rPr>
      </w:pPr>
      <w:bookmarkStart w:id="36" w:name="_CTVL00144432721bcba4d049c2ed57ea69ece15"/>
      <w:bookmarkEnd w:id="35"/>
      <w:r w:rsidRPr="006052F0">
        <w:t>e36.</w:t>
      </w:r>
      <w:r w:rsidRPr="006052F0">
        <w:tab/>
        <w:t xml:space="preserve">Zheng C, Kar I, Chen CK, et al. </w:t>
      </w:r>
      <w:r>
        <w:rPr>
          <w:lang w:val="en-GB"/>
        </w:rPr>
        <w:t xml:space="preserve">Multiple Sclerosis Disease-Modifying Therapy and the COVID-19 Pandemic: Implications on the Risk of Infection and Future Vaccination. CNS Drugs. </w:t>
      </w:r>
      <w:proofErr w:type="gramStart"/>
      <w:r>
        <w:rPr>
          <w:lang w:val="en-GB"/>
        </w:rPr>
        <w:t>2020;34:879</w:t>
      </w:r>
      <w:proofErr w:type="gramEnd"/>
      <w:r>
        <w:rPr>
          <w:lang w:val="en-GB"/>
        </w:rPr>
        <w:t>–896.</w:t>
      </w:r>
    </w:p>
    <w:p w14:paraId="4AB3F5BD" w14:textId="77777777" w:rsidR="001E4CB0" w:rsidRPr="00CD47F8" w:rsidRDefault="00CD47F8" w:rsidP="00CD47F8">
      <w:bookmarkStart w:id="37" w:name="_CTVL00143eb95bd55354fd5b4c4da64cff4731f"/>
      <w:bookmarkEnd w:id="36"/>
      <w:r>
        <w:rPr>
          <w:lang w:val="en-GB"/>
        </w:rPr>
        <w:t>e37.</w:t>
      </w:r>
      <w:r>
        <w:rPr>
          <w:lang w:val="en-GB"/>
        </w:rPr>
        <w:tab/>
        <w:t>Baker D, Roberts CAK, Pryce G, et al. COVID-19 vaccine-readiness for anti-CD20-depleting therapy in autoimmune diseases. Clin Exp Immunol. 2020:in press</w:t>
      </w:r>
      <w:bookmarkEnd w:id="37"/>
      <w:r>
        <w:rPr>
          <w:lang w:val="en-GB"/>
        </w:rPr>
        <w:t>.</w:t>
      </w:r>
    </w:p>
    <w:sectPr w:rsidR="001E4CB0" w:rsidRPr="00CD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F8"/>
    <w:rsid w:val="001E4CB0"/>
    <w:rsid w:val="0074462D"/>
    <w:rsid w:val="00C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2EA3"/>
  <w15:chartTrackingRefBased/>
  <w15:docId w15:val="{482C095E-04BB-4067-8F29-EE3A8E2A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F8"/>
    <w:pPr>
      <w:spacing w:line="256" w:lineRule="auto"/>
    </w:pPr>
    <w:rPr>
      <w:rFonts w:eastAsiaTheme="minorEastAs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viBibliographyEntry">
    <w:name w:val="Citavi Bibliography Entry"/>
    <w:basedOn w:val="Normal"/>
    <w:link w:val="CitaviBibliographyEntryZchn"/>
    <w:rsid w:val="00CD47F8"/>
    <w:pPr>
      <w:tabs>
        <w:tab w:val="left" w:pos="397"/>
      </w:tabs>
      <w:spacing w:after="0" w:line="480" w:lineRule="auto"/>
      <w:ind w:left="397" w:hanging="397"/>
    </w:pPr>
    <w:rPr>
      <w:rFonts w:ascii="Arial" w:hAnsi="Arial" w:cs="Arial"/>
      <w:sz w:val="24"/>
      <w:szCs w:val="24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CD47F8"/>
    <w:rPr>
      <w:rFonts w:ascii="Arial" w:eastAsiaTheme="minorEastAsia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Moore, Emily</cp:lastModifiedBy>
  <cp:revision>2</cp:revision>
  <dcterms:created xsi:type="dcterms:W3CDTF">2020-11-24T17:41:00Z</dcterms:created>
  <dcterms:modified xsi:type="dcterms:W3CDTF">2020-11-24T17:41:00Z</dcterms:modified>
</cp:coreProperties>
</file>