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9D" w:rsidRDefault="00541F9D" w:rsidP="00541F9D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Supplemental data</w:t>
      </w:r>
    </w:p>
    <w:p w:rsidR="00541F9D" w:rsidRDefault="00541F9D" w:rsidP="00F37B8A">
      <w:pPr>
        <w:rPr>
          <w:rFonts w:ascii="Arial" w:hAnsi="Arial" w:cs="Arial"/>
          <w:b/>
          <w:lang w:val="en-GB"/>
        </w:rPr>
      </w:pPr>
    </w:p>
    <w:p w:rsidR="00CA6364" w:rsidRPr="00F37B8A" w:rsidRDefault="00F37B8A" w:rsidP="00F37B8A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Table e-1:</w:t>
      </w:r>
      <w:r w:rsidRPr="00F37B8A">
        <w:rPr>
          <w:rFonts w:ascii="Arial" w:hAnsi="Arial" w:cs="Arial"/>
          <w:lang w:val="en-GB"/>
        </w:rPr>
        <w:t xml:space="preserve"> Number needed to harm</w:t>
      </w:r>
      <w:r w:rsidR="00A06EF0">
        <w:rPr>
          <w:rFonts w:ascii="Arial" w:hAnsi="Arial" w:cs="Arial"/>
          <w:lang w:val="en-GB"/>
        </w:rPr>
        <w:t xml:space="preserve"> (NNH) at various times for patients with and without exposure to sepsis</w:t>
      </w:r>
      <w:r>
        <w:rPr>
          <w:rFonts w:ascii="Arial" w:hAnsi="Arial" w:cs="Arial"/>
          <w:lang w:val="en-GB"/>
        </w:rPr>
        <w:t xml:space="preserve">, calculated </w:t>
      </w:r>
      <w:r w:rsidRPr="00F37B8A">
        <w:rPr>
          <w:rFonts w:ascii="Arial" w:hAnsi="Arial" w:cs="Arial"/>
          <w:lang w:val="en-GB"/>
        </w:rPr>
        <w:t xml:space="preserve">from </w:t>
      </w:r>
      <w:r>
        <w:rPr>
          <w:rFonts w:ascii="Arial" w:hAnsi="Arial" w:cs="Arial"/>
          <w:lang w:val="en-GB"/>
        </w:rPr>
        <w:t xml:space="preserve">adjusted </w:t>
      </w:r>
      <w:r w:rsidRPr="00F37B8A">
        <w:rPr>
          <w:rFonts w:ascii="Arial" w:hAnsi="Arial" w:cs="Arial"/>
          <w:lang w:val="en-GB"/>
        </w:rPr>
        <w:t>survival</w:t>
      </w:r>
      <w:r>
        <w:rPr>
          <w:rFonts w:ascii="Arial" w:hAnsi="Arial" w:cs="Arial"/>
          <w:lang w:val="en-GB"/>
        </w:rPr>
        <w:t xml:space="preserve"> </w:t>
      </w:r>
      <w:r w:rsidRPr="00F37B8A">
        <w:rPr>
          <w:rFonts w:ascii="Arial" w:hAnsi="Arial" w:cs="Arial"/>
          <w:lang w:val="en-GB"/>
        </w:rPr>
        <w:t xml:space="preserve">probabilities in </w:t>
      </w:r>
      <w:r>
        <w:rPr>
          <w:rFonts w:ascii="Arial" w:hAnsi="Arial" w:cs="Arial"/>
          <w:lang w:val="en-GB"/>
        </w:rPr>
        <w:t>exposure</w:t>
      </w:r>
      <w:r w:rsidRPr="00F37B8A">
        <w:rPr>
          <w:rFonts w:ascii="Arial" w:hAnsi="Arial" w:cs="Arial"/>
          <w:lang w:val="en-GB"/>
        </w:rPr>
        <w:t xml:space="preserve"> and control groups</w:t>
      </w:r>
    </w:p>
    <w:tbl>
      <w:tblPr>
        <w:tblW w:w="6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361"/>
        <w:gridCol w:w="1233"/>
        <w:gridCol w:w="69"/>
        <w:gridCol w:w="1420"/>
        <w:gridCol w:w="1085"/>
      </w:tblGrid>
      <w:tr w:rsidR="00A05A3A" w:rsidRPr="006F3EFB" w:rsidTr="00595DF5">
        <w:trPr>
          <w:trHeight w:val="29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EFB" w:rsidRPr="006F3EFB" w:rsidRDefault="006F3EFB" w:rsidP="006F3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3EFB" w:rsidRPr="006F3EFB" w:rsidRDefault="006F3EFB" w:rsidP="006F3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Survival probabilities</w:t>
            </w:r>
            <w:r w:rsidR="00A05A3A" w:rsidRPr="00A05A3A">
              <w:rPr>
                <w:rFonts w:ascii="Calibri" w:eastAsia="Times New Roman" w:hAnsi="Calibri" w:cs="Calibri"/>
                <w:color w:val="000000"/>
                <w:vertAlign w:val="superscript"/>
                <w:lang w:val="en-GB" w:eastAsia="de-DE"/>
              </w:rPr>
              <w:t>#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6F3EFB" w:rsidRPr="006F3EFB" w:rsidRDefault="006F3EFB" w:rsidP="006F3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6F3EFB" w:rsidRPr="006F3EFB" w:rsidRDefault="006F3EFB" w:rsidP="006F3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</w:tr>
      <w:tr w:rsidR="00A05A3A" w:rsidRPr="006F3EFB" w:rsidTr="00595DF5">
        <w:trPr>
          <w:trHeight w:val="3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EFB" w:rsidRPr="006F3EFB" w:rsidRDefault="006F3EFB" w:rsidP="006F3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EFB" w:rsidRPr="006F3EFB" w:rsidRDefault="006F3EFB" w:rsidP="006F3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proofErr w:type="spellStart"/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Control</w:t>
            </w:r>
            <w:r w:rsidRPr="006F3EFB">
              <w:rPr>
                <w:rFonts w:ascii="Calibri" w:eastAsia="Times New Roman" w:hAnsi="Calibri" w:cs="Calibri"/>
                <w:color w:val="000000"/>
                <w:vertAlign w:val="subscript"/>
                <w:lang w:val="en-GB" w:eastAsia="de-DE"/>
              </w:rPr>
              <w:t>no</w:t>
            </w:r>
            <w:proofErr w:type="spellEnd"/>
            <w:r w:rsidRPr="006F3EFB">
              <w:rPr>
                <w:rFonts w:ascii="Calibri" w:eastAsia="Times New Roman" w:hAnsi="Calibri" w:cs="Calibri"/>
                <w:color w:val="000000"/>
                <w:vertAlign w:val="subscript"/>
                <w:lang w:val="en-GB" w:eastAsia="de-DE"/>
              </w:rPr>
              <w:t xml:space="preserve"> sepsis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EFB" w:rsidRPr="006F3EFB" w:rsidRDefault="006F3EFB" w:rsidP="006F3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proofErr w:type="spellStart"/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Exposure</w:t>
            </w:r>
            <w:r w:rsidRPr="006F3EFB">
              <w:rPr>
                <w:rFonts w:ascii="Calibri" w:eastAsia="Times New Roman" w:hAnsi="Calibri" w:cs="Calibri"/>
                <w:color w:val="000000"/>
                <w:vertAlign w:val="subscript"/>
                <w:lang w:val="en-GB" w:eastAsia="de-DE"/>
              </w:rPr>
              <w:t>sepsis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6F3EFB" w:rsidRPr="006F3EFB" w:rsidRDefault="006F3EFB" w:rsidP="006F3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ARI</w:t>
            </w:r>
            <w:r w:rsidR="00A05A3A" w:rsidRPr="00A05A3A">
              <w:rPr>
                <w:rFonts w:ascii="Calibri" w:eastAsia="Times New Roman" w:hAnsi="Calibri" w:cs="Calibri"/>
                <w:color w:val="000000"/>
                <w:vertAlign w:val="superscript"/>
                <w:lang w:val="en-GB" w:eastAsia="de-DE"/>
              </w:rPr>
              <w:t>##</w:t>
            </w:r>
          </w:p>
        </w:tc>
        <w:tc>
          <w:tcPr>
            <w:tcW w:w="1085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6F3EFB" w:rsidRPr="006F3EFB" w:rsidRDefault="00A05A3A" w:rsidP="00A05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NNH</w:t>
            </w:r>
          </w:p>
        </w:tc>
      </w:tr>
      <w:tr w:rsidR="00A05A3A" w:rsidRPr="006F3EFB" w:rsidTr="00595DF5">
        <w:trPr>
          <w:trHeight w:val="33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3EFB" w:rsidRPr="006F3EFB" w:rsidRDefault="006F3EFB" w:rsidP="006F3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Time point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3EFB" w:rsidRPr="006F3EFB" w:rsidRDefault="006F3EFB" w:rsidP="006F3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proofErr w:type="spellStart"/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S</w:t>
            </w:r>
            <w:r w:rsidRPr="006F3EFB">
              <w:rPr>
                <w:rFonts w:ascii="Calibri" w:eastAsia="Times New Roman" w:hAnsi="Calibri" w:cs="Calibri"/>
                <w:color w:val="000000"/>
                <w:vertAlign w:val="subscript"/>
                <w:lang w:val="en-GB" w:eastAsia="de-DE"/>
              </w:rPr>
              <w:t>no</w:t>
            </w:r>
            <w:proofErr w:type="spellEnd"/>
            <w:r w:rsidRPr="006F3EFB">
              <w:rPr>
                <w:rFonts w:ascii="Calibri" w:eastAsia="Times New Roman" w:hAnsi="Calibri" w:cs="Calibri"/>
                <w:color w:val="000000"/>
                <w:vertAlign w:val="subscript"/>
                <w:lang w:val="en-GB" w:eastAsia="de-DE"/>
              </w:rPr>
              <w:t xml:space="preserve"> sepsis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F3EFB" w:rsidRPr="006F3EFB" w:rsidRDefault="006F3EFB" w:rsidP="006F3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proofErr w:type="spellStart"/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S</w:t>
            </w:r>
            <w:r w:rsidRPr="006F3EFB">
              <w:rPr>
                <w:rFonts w:ascii="Calibri" w:eastAsia="Times New Roman" w:hAnsi="Calibri" w:cs="Calibri"/>
                <w:color w:val="000000"/>
                <w:vertAlign w:val="subscript"/>
                <w:lang w:val="en-GB" w:eastAsia="de-DE"/>
              </w:rPr>
              <w:t>sepsis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EFB" w:rsidRPr="006F3EFB" w:rsidRDefault="006F3EFB" w:rsidP="006F3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proofErr w:type="spellStart"/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S</w:t>
            </w:r>
            <w:r w:rsidRPr="006F3EFB">
              <w:rPr>
                <w:rFonts w:ascii="Calibri" w:eastAsia="Times New Roman" w:hAnsi="Calibri" w:cs="Calibri"/>
                <w:color w:val="000000"/>
                <w:vertAlign w:val="subscript"/>
                <w:lang w:val="en-GB" w:eastAsia="de-DE"/>
              </w:rPr>
              <w:t>sepsis</w:t>
            </w:r>
            <w:proofErr w:type="spellEnd"/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 xml:space="preserve"> - </w:t>
            </w:r>
            <w:proofErr w:type="spellStart"/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S</w:t>
            </w:r>
            <w:r w:rsidRPr="006F3EFB">
              <w:rPr>
                <w:rFonts w:ascii="Calibri" w:eastAsia="Times New Roman" w:hAnsi="Calibri" w:cs="Calibri"/>
                <w:color w:val="000000"/>
                <w:vertAlign w:val="subscript"/>
                <w:lang w:val="en-GB" w:eastAsia="de-DE"/>
              </w:rPr>
              <w:t>no</w:t>
            </w:r>
            <w:proofErr w:type="spellEnd"/>
            <w:r w:rsidRPr="006F3EFB">
              <w:rPr>
                <w:rFonts w:ascii="Calibri" w:eastAsia="Times New Roman" w:hAnsi="Calibri" w:cs="Calibri"/>
                <w:color w:val="000000"/>
                <w:vertAlign w:val="subscript"/>
                <w:lang w:val="en-GB" w:eastAsia="de-DE"/>
              </w:rPr>
              <w:t xml:space="preserve"> sepsis</w:t>
            </w:r>
          </w:p>
        </w:tc>
        <w:tc>
          <w:tcPr>
            <w:tcW w:w="1085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EFB" w:rsidRPr="006F3EFB" w:rsidRDefault="006F3EFB" w:rsidP="00A05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(1/|</w:t>
            </w:r>
            <w:r w:rsidR="00A05A3A">
              <w:rPr>
                <w:rFonts w:ascii="Calibri" w:eastAsia="Times New Roman" w:hAnsi="Calibri" w:cs="Calibri"/>
                <w:color w:val="000000"/>
                <w:lang w:val="en-GB" w:eastAsia="de-DE"/>
              </w:rPr>
              <w:t>ARI</w:t>
            </w: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|)</w:t>
            </w:r>
          </w:p>
        </w:tc>
      </w:tr>
      <w:tr w:rsidR="00595DF5" w:rsidRPr="006F3EFB" w:rsidTr="00595DF5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0.25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0.9989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0.9968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-0.0021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478</w:t>
            </w:r>
          </w:p>
        </w:tc>
      </w:tr>
      <w:tr w:rsidR="00595DF5" w:rsidRPr="006F3EFB" w:rsidTr="00595DF5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0.9958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0.9900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-0.0058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174</w:t>
            </w:r>
          </w:p>
        </w:tc>
      </w:tr>
      <w:tr w:rsidR="00595DF5" w:rsidRPr="006F3EFB" w:rsidTr="00595DF5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0.9918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0.9825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-0.0094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107</w:t>
            </w:r>
          </w:p>
        </w:tc>
      </w:tr>
      <w:tr w:rsidR="00595DF5" w:rsidRPr="006F3EFB" w:rsidTr="00595DF5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0.9883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0.9763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-0.0120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84</w:t>
            </w:r>
          </w:p>
        </w:tc>
      </w:tr>
      <w:tr w:rsidR="00595DF5" w:rsidRPr="006F3EFB" w:rsidTr="00595DF5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0.9848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0.9706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-0.0142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71</w:t>
            </w:r>
          </w:p>
        </w:tc>
      </w:tr>
      <w:tr w:rsidR="00595DF5" w:rsidRPr="006F3EFB" w:rsidTr="00595DF5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0.9817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0.9657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-0.0160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63</w:t>
            </w:r>
          </w:p>
        </w:tc>
      </w:tr>
      <w:tr w:rsidR="00595DF5" w:rsidRPr="006F3EFB" w:rsidTr="00595DF5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0.9787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0.9611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-0.0176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57</w:t>
            </w:r>
          </w:p>
        </w:tc>
      </w:tr>
      <w:tr w:rsidR="00595DF5" w:rsidRPr="006F3EFB" w:rsidTr="00595DF5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0.9758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0.9568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-0.0189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53</w:t>
            </w:r>
          </w:p>
        </w:tc>
      </w:tr>
      <w:tr w:rsidR="00595DF5" w:rsidRPr="006F3EFB" w:rsidTr="00595DF5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7.625</w:t>
            </w:r>
            <w:r w:rsidRPr="00A05A3A">
              <w:rPr>
                <w:rFonts w:ascii="Calibri" w:eastAsia="Times New Roman" w:hAnsi="Calibri" w:cs="Calibri"/>
                <w:color w:val="000000"/>
                <w:vertAlign w:val="superscript"/>
                <w:lang w:val="en-GB" w:eastAsia="de-DE"/>
              </w:rPr>
              <w:t>##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val="en-GB" w:eastAsia="de-DE"/>
              </w:rPr>
              <w:t>#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0.9736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0.9536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-0.0199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51</w:t>
            </w:r>
          </w:p>
        </w:tc>
      </w:tr>
      <w:tr w:rsidR="00595DF5" w:rsidRPr="006F3EFB" w:rsidTr="00595DF5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0.9720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0.9515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-0.0206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49</w:t>
            </w:r>
          </w:p>
        </w:tc>
      </w:tr>
      <w:tr w:rsidR="00595DF5" w:rsidRPr="006F3EFB" w:rsidTr="00595DF5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0.9687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0.9467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-0.0220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46</w:t>
            </w:r>
          </w:p>
        </w:tc>
      </w:tr>
      <w:tr w:rsidR="00595DF5" w:rsidRPr="006F3EFB" w:rsidTr="00595DF5">
        <w:trPr>
          <w:trHeight w:val="29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0.9666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0.9439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-0.0228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5DF5" w:rsidRPr="006F3EFB" w:rsidRDefault="00595DF5" w:rsidP="00595D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de-DE"/>
              </w:rPr>
            </w:pPr>
            <w:r w:rsidRPr="006F3EFB">
              <w:rPr>
                <w:rFonts w:ascii="Calibri" w:eastAsia="Times New Roman" w:hAnsi="Calibri" w:cs="Calibri"/>
                <w:color w:val="000000"/>
                <w:lang w:val="en-GB" w:eastAsia="de-DE"/>
              </w:rPr>
              <w:t>44</w:t>
            </w:r>
          </w:p>
        </w:tc>
      </w:tr>
    </w:tbl>
    <w:p w:rsidR="00F37B8A" w:rsidRDefault="00ED0AB9">
      <w:pPr>
        <w:rPr>
          <w:rFonts w:ascii="Arial" w:hAnsi="Arial" w:cs="Arial"/>
          <w:lang w:val="en-GB"/>
        </w:rPr>
      </w:pPr>
      <w:r w:rsidRPr="00ED0AB9">
        <w:rPr>
          <w:rFonts w:ascii="Arial" w:hAnsi="Arial" w:cs="Arial"/>
          <w:lang w:val="en-GB"/>
        </w:rPr>
        <w:t>Source: Health claims data AOK 2004-2015</w:t>
      </w:r>
      <w:r>
        <w:rPr>
          <w:rFonts w:ascii="Arial" w:hAnsi="Arial" w:cs="Arial"/>
          <w:lang w:val="en-GB"/>
        </w:rPr>
        <w:t>; # Survival probabilities estimated from Cox-regression models</w:t>
      </w:r>
      <w:r w:rsidR="00A05A3A">
        <w:rPr>
          <w:rFonts w:ascii="Arial" w:hAnsi="Arial" w:cs="Arial"/>
          <w:lang w:val="en-GB"/>
        </w:rPr>
        <w:t xml:space="preserve"> adjusted for</w:t>
      </w:r>
      <w:r>
        <w:rPr>
          <w:rFonts w:ascii="Arial" w:hAnsi="Arial" w:cs="Arial"/>
          <w:lang w:val="en-GB"/>
        </w:rPr>
        <w:t xml:space="preserve"> </w:t>
      </w:r>
      <w:r w:rsidR="00B41372">
        <w:rPr>
          <w:rFonts w:ascii="Arial" w:hAnsi="Arial" w:cs="Arial"/>
          <w:lang w:val="en-GB"/>
        </w:rPr>
        <w:t xml:space="preserve">time since latest ICU stay, delirium, and surgery, </w:t>
      </w:r>
      <w:r w:rsidR="00A05A3A" w:rsidRPr="00A05A3A">
        <w:rPr>
          <w:rFonts w:ascii="Arial" w:hAnsi="Arial" w:cs="Arial"/>
          <w:lang w:val="en-GB"/>
        </w:rPr>
        <w:t>age, gender, cerebrovascular diseases, hypertension, diabetes, hypercholesterolemia, depression, and Parkinson’s disease</w:t>
      </w:r>
      <w:r w:rsidR="001A7DE8">
        <w:rPr>
          <w:rFonts w:ascii="Arial" w:hAnsi="Arial" w:cs="Arial"/>
          <w:lang w:val="en-GB"/>
        </w:rPr>
        <w:t xml:space="preserve">; </w:t>
      </w:r>
      <w:r w:rsidR="006E5AD2">
        <w:rPr>
          <w:rFonts w:ascii="Arial" w:hAnsi="Arial" w:cs="Arial"/>
          <w:lang w:val="en-GB"/>
        </w:rPr>
        <w:t>## Absolute Risk I</w:t>
      </w:r>
      <w:r w:rsidR="00A05A3A">
        <w:rPr>
          <w:rFonts w:ascii="Arial" w:hAnsi="Arial" w:cs="Arial"/>
          <w:lang w:val="en-GB"/>
        </w:rPr>
        <w:t>ncrease; ###</w:t>
      </w:r>
      <w:r w:rsidR="006E5AD2">
        <w:rPr>
          <w:rFonts w:ascii="Arial" w:hAnsi="Arial" w:cs="Arial"/>
          <w:lang w:val="en-GB"/>
        </w:rPr>
        <w:t xml:space="preserve"> mean follow-up time</w:t>
      </w:r>
    </w:p>
    <w:p w:rsidR="00F37B8A" w:rsidRDefault="002D48F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Survival function displayed the survival from the first q</w:t>
      </w:r>
      <w:r w:rsidR="00F71337">
        <w:rPr>
          <w:rFonts w:ascii="Arial" w:hAnsi="Arial" w:cs="Arial"/>
          <w:lang w:val="en-GB"/>
        </w:rPr>
        <w:t>uarter</w:t>
      </w:r>
      <w:r>
        <w:rPr>
          <w:rFonts w:ascii="Arial" w:hAnsi="Arial" w:cs="Arial"/>
          <w:lang w:val="en-GB"/>
        </w:rPr>
        <w:t xml:space="preserve"> of 2006 for those without sepsis and from the quarter of sepsis diagnosis for those with sepsis.</w:t>
      </w:r>
    </w:p>
    <w:p w:rsidR="00F37B8A" w:rsidRPr="00ED0AB9" w:rsidRDefault="00F7133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After median follow-up time</w:t>
      </w:r>
      <w:r w:rsidR="00FB0040">
        <w:rPr>
          <w:rFonts w:ascii="Arial" w:hAnsi="Arial" w:cs="Arial"/>
          <w:lang w:val="en-GB"/>
        </w:rPr>
        <w:t xml:space="preserve"> of 7.625 years</w:t>
      </w:r>
      <w:r>
        <w:rPr>
          <w:rFonts w:ascii="Arial" w:hAnsi="Arial" w:cs="Arial"/>
          <w:lang w:val="en-GB"/>
        </w:rPr>
        <w:t>, 97.36</w:t>
      </w:r>
      <w:r w:rsidR="002D48F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percent</w:t>
      </w:r>
      <w:r w:rsidR="002D48FA">
        <w:rPr>
          <w:rFonts w:ascii="Arial" w:hAnsi="Arial" w:cs="Arial"/>
          <w:lang w:val="en-GB"/>
        </w:rPr>
        <w:t xml:space="preserve"> of persons without sepsis </w:t>
      </w:r>
      <w:r>
        <w:rPr>
          <w:rFonts w:ascii="Arial" w:hAnsi="Arial" w:cs="Arial"/>
          <w:lang w:val="en-GB"/>
        </w:rPr>
        <w:t xml:space="preserve">and 95.36 percent with sepsis </w:t>
      </w:r>
      <w:r w:rsidR="002D48FA">
        <w:rPr>
          <w:rFonts w:ascii="Arial" w:hAnsi="Arial" w:cs="Arial"/>
          <w:lang w:val="en-GB"/>
        </w:rPr>
        <w:t>experienced no incident dementia diagnosis</w:t>
      </w:r>
      <w:r>
        <w:rPr>
          <w:rFonts w:ascii="Arial" w:hAnsi="Arial" w:cs="Arial"/>
          <w:lang w:val="en-GB"/>
        </w:rPr>
        <w:t>.</w:t>
      </w:r>
    </w:p>
    <w:p w:rsidR="00F37B8A" w:rsidRPr="00ED0AB9" w:rsidRDefault="00F37B8A">
      <w:pPr>
        <w:rPr>
          <w:rFonts w:ascii="Arial" w:hAnsi="Arial" w:cs="Arial"/>
          <w:lang w:val="en-GB"/>
        </w:rPr>
      </w:pPr>
    </w:p>
    <w:p w:rsidR="00F37B8A" w:rsidRPr="00ED0AB9" w:rsidRDefault="00F37B8A">
      <w:pPr>
        <w:rPr>
          <w:rFonts w:ascii="Arial" w:hAnsi="Arial" w:cs="Arial"/>
          <w:lang w:val="en-GB"/>
        </w:rPr>
      </w:pPr>
    </w:p>
    <w:p w:rsidR="00F37B8A" w:rsidRDefault="00F37B8A">
      <w:pPr>
        <w:rPr>
          <w:rFonts w:ascii="Arial" w:hAnsi="Arial" w:cs="Arial"/>
          <w:lang w:val="en-GB"/>
        </w:rPr>
      </w:pPr>
    </w:p>
    <w:p w:rsidR="00F71337" w:rsidRDefault="00F71337">
      <w:pPr>
        <w:rPr>
          <w:rFonts w:ascii="Arial" w:hAnsi="Arial" w:cs="Arial"/>
          <w:lang w:val="en-GB"/>
        </w:rPr>
      </w:pPr>
    </w:p>
    <w:p w:rsidR="00F71337" w:rsidRDefault="00F71337">
      <w:pPr>
        <w:rPr>
          <w:rFonts w:ascii="Arial" w:hAnsi="Arial" w:cs="Arial"/>
          <w:lang w:val="en-GB"/>
        </w:rPr>
      </w:pPr>
    </w:p>
    <w:p w:rsidR="00F71337" w:rsidRDefault="00F71337">
      <w:pPr>
        <w:rPr>
          <w:rFonts w:ascii="Arial" w:hAnsi="Arial" w:cs="Arial"/>
          <w:lang w:val="en-GB"/>
        </w:rPr>
      </w:pPr>
    </w:p>
    <w:p w:rsidR="00F71337" w:rsidRDefault="00F71337">
      <w:pPr>
        <w:rPr>
          <w:rFonts w:ascii="Arial" w:hAnsi="Arial" w:cs="Arial"/>
          <w:lang w:val="en-GB"/>
        </w:rPr>
      </w:pPr>
    </w:p>
    <w:p w:rsidR="00F71337" w:rsidRDefault="00F71337">
      <w:pPr>
        <w:rPr>
          <w:rFonts w:ascii="Arial" w:hAnsi="Arial" w:cs="Arial"/>
          <w:lang w:val="en-GB"/>
        </w:rPr>
      </w:pPr>
    </w:p>
    <w:p w:rsidR="00F71337" w:rsidRDefault="00F71337">
      <w:pPr>
        <w:rPr>
          <w:rFonts w:ascii="Arial" w:hAnsi="Arial" w:cs="Arial"/>
          <w:lang w:val="en-GB"/>
        </w:rPr>
      </w:pPr>
    </w:p>
    <w:p w:rsidR="00F71337" w:rsidRDefault="00F71337">
      <w:pPr>
        <w:rPr>
          <w:rFonts w:ascii="Arial" w:hAnsi="Arial" w:cs="Arial"/>
          <w:lang w:val="en-GB"/>
        </w:rPr>
      </w:pPr>
    </w:p>
    <w:p w:rsidR="00F71337" w:rsidRDefault="00F71337">
      <w:pPr>
        <w:rPr>
          <w:rFonts w:ascii="Arial" w:hAnsi="Arial" w:cs="Arial"/>
          <w:lang w:val="en-GB"/>
        </w:rPr>
      </w:pPr>
    </w:p>
    <w:p w:rsidR="00F71337" w:rsidRPr="00ED0AB9" w:rsidRDefault="00F71337">
      <w:pPr>
        <w:rPr>
          <w:rFonts w:ascii="Arial" w:hAnsi="Arial" w:cs="Arial"/>
          <w:lang w:val="en-GB"/>
        </w:rPr>
      </w:pPr>
    </w:p>
    <w:p w:rsidR="00F71337" w:rsidRDefault="00F71337">
      <w:pPr>
        <w:rPr>
          <w:rFonts w:ascii="Arial" w:hAnsi="Arial" w:cs="Arial"/>
          <w:b/>
          <w:lang w:val="en-GB"/>
        </w:rPr>
        <w:sectPr w:rsidR="00F71337" w:rsidSect="00F71337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A64A4B" w:rsidRPr="00336EFE" w:rsidRDefault="00CA6364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Table e-2</w:t>
      </w:r>
      <w:r w:rsidR="00336EFE" w:rsidRPr="00784AB9">
        <w:rPr>
          <w:rFonts w:ascii="Arial" w:hAnsi="Arial" w:cs="Arial"/>
          <w:b/>
          <w:lang w:val="en-GB"/>
        </w:rPr>
        <w:t>:</w:t>
      </w:r>
      <w:r w:rsidR="00336EFE" w:rsidRPr="00336EFE">
        <w:rPr>
          <w:rFonts w:ascii="Arial" w:hAnsi="Arial" w:cs="Arial"/>
          <w:lang w:val="en-GB"/>
        </w:rPr>
        <w:t xml:space="preserve"> Cox proportional hazard models with outcome incidence</w:t>
      </w:r>
      <w:r w:rsidR="0056325E">
        <w:rPr>
          <w:rFonts w:ascii="Arial" w:hAnsi="Arial" w:cs="Arial"/>
          <w:lang w:val="en-GB"/>
        </w:rPr>
        <w:t xml:space="preserve"> of</w:t>
      </w:r>
      <w:r w:rsidR="00336EFE" w:rsidRPr="00336EFE">
        <w:rPr>
          <w:rFonts w:ascii="Arial" w:hAnsi="Arial" w:cs="Arial"/>
          <w:lang w:val="en-GB"/>
        </w:rPr>
        <w:t xml:space="preserve"> dementia diagnosis</w:t>
      </w:r>
      <w:r w:rsidR="00955764">
        <w:rPr>
          <w:rFonts w:ascii="Arial" w:hAnsi="Arial" w:cs="Arial"/>
          <w:lang w:val="en-GB"/>
        </w:rPr>
        <w:t>.</w:t>
      </w:r>
      <w:r w:rsidR="001318D3">
        <w:rPr>
          <w:rFonts w:ascii="Arial" w:hAnsi="Arial" w:cs="Arial"/>
          <w:lang w:val="en-GB"/>
        </w:rPr>
        <w:t xml:space="preserve"> </w:t>
      </w:r>
      <w:r w:rsidR="00955764">
        <w:rPr>
          <w:rFonts w:ascii="Arial" w:hAnsi="Arial" w:cs="Arial"/>
          <w:lang w:val="en-GB"/>
        </w:rPr>
        <w:t>Patients excluded</w:t>
      </w:r>
      <w:r w:rsidR="001318D3">
        <w:rPr>
          <w:rFonts w:ascii="Arial" w:hAnsi="Arial" w:cs="Arial"/>
          <w:lang w:val="en-GB"/>
        </w:rPr>
        <w:t xml:space="preserve"> with</w:t>
      </w:r>
      <w:r w:rsidR="00955764">
        <w:rPr>
          <w:rFonts w:ascii="Arial" w:hAnsi="Arial" w:cs="Arial"/>
          <w:lang w:val="en-GB"/>
        </w:rPr>
        <w:t xml:space="preserve"> prevalent</w:t>
      </w:r>
      <w:r w:rsidR="001318D3">
        <w:rPr>
          <w:rFonts w:ascii="Arial" w:hAnsi="Arial" w:cs="Arial"/>
          <w:lang w:val="en-GB"/>
        </w:rPr>
        <w:t xml:space="preserve"> delirium diagnosis (Model 1a-b, 2) and patients</w:t>
      </w:r>
      <w:r w:rsidR="00955764">
        <w:rPr>
          <w:rFonts w:ascii="Arial" w:hAnsi="Arial" w:cs="Arial"/>
          <w:lang w:val="en-GB"/>
        </w:rPr>
        <w:t xml:space="preserve"> excluded</w:t>
      </w:r>
      <w:r w:rsidR="001318D3">
        <w:rPr>
          <w:rFonts w:ascii="Arial" w:hAnsi="Arial" w:cs="Arial"/>
          <w:lang w:val="en-GB"/>
        </w:rPr>
        <w:t xml:space="preserve"> with </w:t>
      </w:r>
      <w:r w:rsidR="00955764">
        <w:rPr>
          <w:rFonts w:ascii="Arial" w:hAnsi="Arial" w:cs="Arial"/>
          <w:lang w:val="en-GB"/>
        </w:rPr>
        <w:t xml:space="preserve">prevalent </w:t>
      </w:r>
      <w:r w:rsidR="001318D3">
        <w:rPr>
          <w:rFonts w:ascii="Arial" w:hAnsi="Arial" w:cs="Arial"/>
          <w:lang w:val="en-GB"/>
        </w:rPr>
        <w:t>delirium diagnosis, ICU treatment, or surgery (Model 3)</w:t>
      </w:r>
    </w:p>
    <w:tbl>
      <w:tblPr>
        <w:tblW w:w="12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720"/>
        <w:gridCol w:w="1140"/>
        <w:gridCol w:w="700"/>
        <w:gridCol w:w="491"/>
        <w:gridCol w:w="600"/>
        <w:gridCol w:w="840"/>
        <w:gridCol w:w="700"/>
        <w:gridCol w:w="491"/>
        <w:gridCol w:w="491"/>
        <w:gridCol w:w="794"/>
        <w:gridCol w:w="696"/>
        <w:gridCol w:w="491"/>
        <w:gridCol w:w="491"/>
      </w:tblGrid>
      <w:tr w:rsidR="00336EFE" w:rsidRPr="00336EFE" w:rsidTr="00336EFE">
        <w:trPr>
          <w:trHeight w:val="290"/>
        </w:trPr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Model 1a-b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Model 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Model 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</w:tr>
      <w:tr w:rsidR="00336EFE" w:rsidRPr="00336EFE" w:rsidTr="00336EFE">
        <w:trPr>
          <w:trHeight w:val="290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HR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LCI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UCI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HR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LCI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UCI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HR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p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LCI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UCI</w:t>
            </w:r>
          </w:p>
        </w:tc>
      </w:tr>
      <w:tr w:rsidR="00336EFE" w:rsidRPr="00336EFE" w:rsidTr="00336EFE">
        <w:trPr>
          <w:trHeight w:val="2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Time since latest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No diagnosis, no ICU (RG)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</w:tr>
      <w:tr w:rsidR="00336EFE" w:rsidRPr="00336EFE" w:rsidTr="00336EFE">
        <w:trPr>
          <w:trHeight w:val="2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sepsis diagnosis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No diagnosis, ICU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4.77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&lt;0.001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4.40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5.16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2.59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&lt;0.001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2.38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2.83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</w:tr>
      <w:tr w:rsidR="00336EFE" w:rsidRPr="00336EFE" w:rsidTr="00336EFE">
        <w:trPr>
          <w:trHeight w:val="2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by ICU stay in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Quarter 0, no ICU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5.84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&lt;0.001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5.15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6.63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4.34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&lt;0.001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3.81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4.93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</w:tr>
      <w:tr w:rsidR="00336EFE" w:rsidRPr="00336EFE" w:rsidTr="00336EFE">
        <w:trPr>
          <w:trHeight w:val="2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quarter 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1-8 quarters, no ICU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1.64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&lt;0.001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1.42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1.90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1.53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&lt;0.001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1.32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1.77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</w:tr>
      <w:tr w:rsidR="00336EFE" w:rsidRPr="00336EFE" w:rsidTr="00336EFE">
        <w:trPr>
          <w:trHeight w:val="2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9+ quarters, no ICU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1.09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0.359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0.91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1.31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1.07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0.494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0.89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1.28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</w:tr>
      <w:tr w:rsidR="00336EFE" w:rsidRPr="00336EFE" w:rsidTr="00336EFE">
        <w:trPr>
          <w:trHeight w:val="2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Quarter 0, ICU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6.78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&lt;0.001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5.32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8.63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3.45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&lt;0.001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2.70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4.41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</w:tr>
      <w:tr w:rsidR="00336EFE" w:rsidRPr="00336EFE" w:rsidTr="00336EFE">
        <w:trPr>
          <w:trHeight w:val="2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1-8 quarters, ICU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1.74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0.001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1.24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2.44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1.62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0.005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1.15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2.26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</w:tr>
      <w:tr w:rsidR="00336EFE" w:rsidRPr="00336EFE" w:rsidTr="00336EFE">
        <w:trPr>
          <w:trHeight w:val="2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9+ quarters, ICU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1.11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0.611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0.74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1.66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1.07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0.734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0.72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1.60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</w:tr>
      <w:tr w:rsidR="00336EFE" w:rsidRPr="00336EFE" w:rsidTr="00336EFE">
        <w:trPr>
          <w:trHeight w:val="2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Time since latest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No surgery</w:t>
            </w:r>
            <w:r w:rsidR="007A24D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 xml:space="preserve"> (RG)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</w:tr>
      <w:tr w:rsidR="00336EFE" w:rsidRPr="00336EFE" w:rsidTr="00336EFE">
        <w:trPr>
          <w:trHeight w:val="2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955764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S</w:t>
            </w:r>
            <w:r w:rsidR="00336EFE"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urgery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Quarter 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3.54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&lt;0.001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3.37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3.71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2.84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&lt;0.001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2.69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2.99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</w:tr>
      <w:tr w:rsidR="00336EFE" w:rsidRPr="00336EFE" w:rsidTr="00336EFE">
        <w:trPr>
          <w:trHeight w:val="2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1-8 quarters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1.09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&lt;0.001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1.05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1.13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1.07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0.001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1.03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1.11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</w:tr>
      <w:tr w:rsidR="00336EFE" w:rsidRPr="00336EFE" w:rsidTr="00336EFE">
        <w:trPr>
          <w:trHeight w:val="2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9+ quarters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1.01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0.464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0.98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1.05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1.01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0.712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0.97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1.04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</w:tr>
      <w:tr w:rsidR="00336EFE" w:rsidRPr="00336EFE" w:rsidTr="00336EFE">
        <w:trPr>
          <w:trHeight w:val="2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Time since latest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No diagnosis</w:t>
            </w:r>
            <w:r w:rsidR="007A24D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 xml:space="preserve"> (R</w:t>
            </w:r>
            <w:bookmarkStart w:id="0" w:name="_GoBack"/>
            <w:bookmarkEnd w:id="0"/>
            <w:r w:rsidR="007A24DD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G)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</w:tr>
      <w:tr w:rsidR="00336EFE" w:rsidRPr="00336EFE" w:rsidTr="00336EFE">
        <w:trPr>
          <w:trHeight w:val="2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sepsis diagnosis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Quarter 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6.53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&lt;0.001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5.31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8.03</w:t>
            </w:r>
          </w:p>
        </w:tc>
      </w:tr>
      <w:tr w:rsidR="00336EFE" w:rsidRPr="00336EFE" w:rsidTr="00336EFE">
        <w:trPr>
          <w:trHeight w:val="29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1-8 quarters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1.97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&lt;0.001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1.53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2.53</w:t>
            </w:r>
          </w:p>
        </w:tc>
      </w:tr>
      <w:tr w:rsidR="00336EFE" w:rsidRPr="00336EFE" w:rsidTr="00336EFE">
        <w:trPr>
          <w:trHeight w:val="290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9+ quarters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1.08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0.673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0.75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6EFE" w:rsidRPr="00336EFE" w:rsidRDefault="00336EFE" w:rsidP="00336E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</w:pPr>
            <w:r w:rsidRPr="00336EFE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de-DE"/>
              </w:rPr>
              <w:t>1.55</w:t>
            </w:r>
          </w:p>
        </w:tc>
      </w:tr>
    </w:tbl>
    <w:p w:rsidR="001318D3" w:rsidRPr="00336EFE" w:rsidRDefault="00336EFE" w:rsidP="001318D3">
      <w:pPr>
        <w:jc w:val="both"/>
        <w:rPr>
          <w:rFonts w:ascii="Arial" w:hAnsi="Arial" w:cs="Arial"/>
          <w:lang w:val="en-GB"/>
        </w:rPr>
      </w:pPr>
      <w:r w:rsidRPr="00336EFE">
        <w:rPr>
          <w:rFonts w:ascii="Arial" w:hAnsi="Arial" w:cs="Arial"/>
          <w:lang w:val="en-GB"/>
        </w:rPr>
        <w:t xml:space="preserve">Source: Health claims data AOK 2004-2015; all models adjusted for age, gender, cerebrovascular diseases, hypertension, diabetes, hypercholesterolemia, depression, and </w:t>
      </w:r>
      <w:r>
        <w:rPr>
          <w:rFonts w:ascii="Arial" w:hAnsi="Arial" w:cs="Arial"/>
          <w:lang w:val="en-GB"/>
        </w:rPr>
        <w:t xml:space="preserve">Parkinson’s disease; </w:t>
      </w:r>
      <w:r w:rsidR="001318D3" w:rsidRPr="00336EFE">
        <w:rPr>
          <w:rFonts w:ascii="Arial" w:hAnsi="Arial" w:cs="Arial"/>
          <w:lang w:val="en-GB"/>
        </w:rPr>
        <w:t>RG=reference group; HR= Hazard Ratio; LCI: 95 % lower confidence interval, UCI: 95 % upper confidence interval</w:t>
      </w:r>
    </w:p>
    <w:p w:rsidR="00336EFE" w:rsidRDefault="001318D3" w:rsidP="00336EFE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Model 1a-b, Model 2: Excluding patients with </w:t>
      </w:r>
      <w:r w:rsidR="00955764">
        <w:rPr>
          <w:rFonts w:ascii="Arial" w:hAnsi="Arial" w:cs="Arial"/>
          <w:lang w:val="en-GB"/>
        </w:rPr>
        <w:t xml:space="preserve">prevalent </w:t>
      </w:r>
      <w:r>
        <w:rPr>
          <w:rFonts w:ascii="Arial" w:hAnsi="Arial" w:cs="Arial"/>
          <w:lang w:val="en-GB"/>
        </w:rPr>
        <w:t>delirium diagnosis throughout the observation period – N=</w:t>
      </w:r>
      <w:r w:rsidRPr="001318D3">
        <w:rPr>
          <w:rFonts w:ascii="Arial" w:hAnsi="Arial" w:cs="Arial"/>
          <w:lang w:val="en-GB"/>
        </w:rPr>
        <w:t>146,480</w:t>
      </w:r>
      <w:r>
        <w:rPr>
          <w:rFonts w:ascii="Arial" w:hAnsi="Arial" w:cs="Arial"/>
          <w:lang w:val="en-GB"/>
        </w:rPr>
        <w:t xml:space="preserve"> with 21,468 incident dementia cases; </w:t>
      </w:r>
      <w:r w:rsidR="00336EFE">
        <w:rPr>
          <w:rFonts w:ascii="Arial" w:hAnsi="Arial" w:cs="Arial"/>
          <w:lang w:val="en-GB"/>
        </w:rPr>
        <w:t>Models 1a-b</w:t>
      </w:r>
      <w:r w:rsidR="00336EFE" w:rsidRPr="00336EFE">
        <w:rPr>
          <w:rFonts w:ascii="Arial" w:hAnsi="Arial" w:cs="Arial"/>
          <w:lang w:val="en-GB"/>
        </w:rPr>
        <w:t xml:space="preserve"> show the gross effect of the variable of interest unadjusted for the other information but adjusted for age, gender, cerebrovascular diseases, hypertension, diabetes, hypercholesterolemia, depression, and Parkinson’s disease; Model 2 shows the joint effects of sepsis, ICU stay, </w:t>
      </w:r>
      <w:r>
        <w:rPr>
          <w:rFonts w:ascii="Arial" w:hAnsi="Arial" w:cs="Arial"/>
          <w:lang w:val="en-GB"/>
        </w:rPr>
        <w:t>and surgery</w:t>
      </w:r>
    </w:p>
    <w:p w:rsidR="00336EFE" w:rsidRDefault="001318D3" w:rsidP="00336EFE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Model 3: Excluding patients with </w:t>
      </w:r>
      <w:r w:rsidR="00955764">
        <w:rPr>
          <w:rFonts w:ascii="Arial" w:hAnsi="Arial" w:cs="Arial"/>
          <w:lang w:val="en-GB"/>
        </w:rPr>
        <w:t xml:space="preserve">prevalent </w:t>
      </w:r>
      <w:r>
        <w:rPr>
          <w:rFonts w:ascii="Arial" w:hAnsi="Arial" w:cs="Arial"/>
          <w:lang w:val="en-GB"/>
        </w:rPr>
        <w:t>delirium diagnosis, ICU treatment, or surgery throughout the observation period – N=84,877 with 10,853 incident dementia cases</w:t>
      </w:r>
    </w:p>
    <w:p w:rsidR="00955764" w:rsidRDefault="00955764" w:rsidP="00955764">
      <w:pPr>
        <w:spacing w:line="360" w:lineRule="auto"/>
        <w:rPr>
          <w:rFonts w:ascii="Times New Roman" w:hAnsi="Times New Roman"/>
          <w:sz w:val="24"/>
          <w:szCs w:val="24"/>
          <w:lang w:val="en-US"/>
        </w:rPr>
        <w:sectPr w:rsidR="00955764" w:rsidSect="00F71337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:rsidR="00955764" w:rsidRPr="00955764" w:rsidRDefault="00955764" w:rsidP="00955764">
      <w:pPr>
        <w:spacing w:line="360" w:lineRule="auto"/>
        <w:rPr>
          <w:rFonts w:ascii="Arial" w:hAnsi="Arial" w:cs="Arial"/>
          <w:lang w:val="en-US"/>
        </w:rPr>
      </w:pPr>
      <w:r w:rsidRPr="00955764">
        <w:rPr>
          <w:rFonts w:ascii="Arial" w:hAnsi="Arial" w:cs="Arial"/>
          <w:b/>
          <w:lang w:val="en-US"/>
        </w:rPr>
        <w:lastRenderedPageBreak/>
        <w:t>Figure e-1:</w:t>
      </w:r>
      <w:r w:rsidRPr="00955764">
        <w:rPr>
          <w:rFonts w:ascii="Arial" w:hAnsi="Arial" w:cs="Arial"/>
          <w:lang w:val="en-US"/>
        </w:rPr>
        <w:t xml:space="preserve"> Kaplan-Meier survival analysis for cases and controls. Zero (0) signifies date of sepsis before censoring for cases and index date for controls. Patients excluded with prevalent delirium diagnose</w:t>
      </w:r>
      <w:r>
        <w:rPr>
          <w:rFonts w:ascii="Arial" w:hAnsi="Arial" w:cs="Arial"/>
          <w:lang w:val="en-US"/>
        </w:rPr>
        <w:t>s during the observation period</w:t>
      </w:r>
    </w:p>
    <w:p w:rsidR="00955764" w:rsidRPr="00955764" w:rsidRDefault="00955764" w:rsidP="00955764">
      <w:pPr>
        <w:spacing w:line="360" w:lineRule="auto"/>
        <w:rPr>
          <w:rFonts w:ascii="Arial" w:hAnsi="Arial" w:cs="Arial"/>
          <w:lang w:val="en-US"/>
        </w:rPr>
      </w:pPr>
      <w:r w:rsidRPr="00955764">
        <w:rPr>
          <w:rFonts w:ascii="Arial" w:hAnsi="Arial" w:cs="Arial"/>
          <w:noProof/>
          <w:lang w:eastAsia="de-DE"/>
        </w:rPr>
        <w:drawing>
          <wp:inline distT="0" distB="0" distL="0" distR="0" wp14:anchorId="6CC92669" wp14:editId="7BD38121">
            <wp:extent cx="4514850" cy="32861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_death after last sepsis_matched wo delirpatients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242" w:rsidRPr="00CA6364" w:rsidRDefault="00955764" w:rsidP="00955764">
      <w:pPr>
        <w:spacing w:line="360" w:lineRule="auto"/>
        <w:rPr>
          <w:rFonts w:ascii="Arial" w:hAnsi="Arial" w:cs="Arial"/>
          <w:lang w:val="en-US"/>
        </w:rPr>
      </w:pPr>
      <w:r w:rsidRPr="00955764">
        <w:rPr>
          <w:rFonts w:ascii="Arial" w:hAnsi="Arial" w:cs="Arial"/>
          <w:lang w:val="en-US"/>
        </w:rPr>
        <w:t>Source: Health claims data AOK 2004-2015</w:t>
      </w:r>
    </w:p>
    <w:sectPr w:rsidR="002E6242" w:rsidRPr="00CA6364" w:rsidSect="00F7133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FE"/>
    <w:rsid w:val="00063D01"/>
    <w:rsid w:val="000752AB"/>
    <w:rsid w:val="000F5A56"/>
    <w:rsid w:val="001318D3"/>
    <w:rsid w:val="001A7DE8"/>
    <w:rsid w:val="002B2DF2"/>
    <w:rsid w:val="002D48FA"/>
    <w:rsid w:val="002E6242"/>
    <w:rsid w:val="00336EFE"/>
    <w:rsid w:val="003F12BD"/>
    <w:rsid w:val="00541F9D"/>
    <w:rsid w:val="0056325E"/>
    <w:rsid w:val="00595DF5"/>
    <w:rsid w:val="006E5AD2"/>
    <w:rsid w:val="006F3EFB"/>
    <w:rsid w:val="00784AB9"/>
    <w:rsid w:val="007A24DD"/>
    <w:rsid w:val="00955764"/>
    <w:rsid w:val="00A05A3A"/>
    <w:rsid w:val="00A06EF0"/>
    <w:rsid w:val="00A64A4B"/>
    <w:rsid w:val="00B41372"/>
    <w:rsid w:val="00CA6364"/>
    <w:rsid w:val="00DC2466"/>
    <w:rsid w:val="00ED0AB9"/>
    <w:rsid w:val="00F37B8A"/>
    <w:rsid w:val="00F71337"/>
    <w:rsid w:val="00FB0040"/>
    <w:rsid w:val="00FC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84A9A-9E0E-4477-859A-F6E8A25D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DZNE_2017</dc:creator>
  <cp:keywords/>
  <dc:description/>
  <cp:lastModifiedBy>DZNE_2017</cp:lastModifiedBy>
  <cp:revision>3</cp:revision>
  <dcterms:created xsi:type="dcterms:W3CDTF">2020-07-15T19:14:00Z</dcterms:created>
  <dcterms:modified xsi:type="dcterms:W3CDTF">2020-08-10T20:30:00Z</dcterms:modified>
</cp:coreProperties>
</file>