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FCBFC" w14:textId="77777777" w:rsidR="009D0E1C" w:rsidRDefault="009D0E1C" w:rsidP="009D0E1C">
      <w:pPr>
        <w:spacing w:before="75"/>
        <w:ind w:left="163"/>
        <w:rPr>
          <w:b/>
          <w:sz w:val="24"/>
        </w:rPr>
      </w:pPr>
      <w:r>
        <w:rPr>
          <w:b/>
          <w:color w:val="4472C4"/>
          <w:sz w:val="24"/>
          <w:u w:val="thick" w:color="4472C4"/>
        </w:rPr>
        <w:t>Tables</w:t>
      </w:r>
    </w:p>
    <w:p w14:paraId="786170EA" w14:textId="77777777" w:rsidR="009D0E1C" w:rsidRDefault="009D0E1C" w:rsidP="009D0E1C">
      <w:pPr>
        <w:pStyle w:val="BodyText"/>
        <w:spacing w:before="11"/>
        <w:rPr>
          <w:b/>
          <w:sz w:val="15"/>
        </w:rPr>
      </w:pPr>
    </w:p>
    <w:p w14:paraId="4D35B033" w14:textId="77777777" w:rsidR="009D0E1C" w:rsidRDefault="009D0E1C" w:rsidP="009D0E1C">
      <w:pPr>
        <w:spacing w:before="92"/>
        <w:ind w:left="163"/>
        <w:jc w:val="both"/>
        <w:rPr>
          <w:sz w:val="24"/>
        </w:rPr>
      </w:pPr>
      <w:r>
        <w:rPr>
          <w:b/>
          <w:color w:val="4472C4"/>
          <w:sz w:val="24"/>
        </w:rPr>
        <w:t>Supplementary Table 1: Characteristics of MS patients and controls</w:t>
      </w:r>
      <w:r>
        <w:rPr>
          <w:color w:val="4472C4"/>
          <w:sz w:val="24"/>
        </w:rPr>
        <w:t>.</w:t>
      </w:r>
    </w:p>
    <w:p w14:paraId="1FB583A6" w14:textId="77777777" w:rsidR="009D0E1C" w:rsidRDefault="009D0E1C" w:rsidP="009D0E1C">
      <w:pPr>
        <w:pStyle w:val="BodyText"/>
        <w:spacing w:before="11"/>
        <w:rPr>
          <w:sz w:val="23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1099"/>
        <w:gridCol w:w="1589"/>
        <w:gridCol w:w="1781"/>
        <w:gridCol w:w="1320"/>
        <w:gridCol w:w="1301"/>
      </w:tblGrid>
      <w:tr w:rsidR="009D0E1C" w14:paraId="73451346" w14:textId="77777777" w:rsidTr="00AD2D39">
        <w:trPr>
          <w:trHeight w:val="719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1883918" w14:textId="77777777" w:rsidR="009D0E1C" w:rsidRDefault="009D0E1C" w:rsidP="00AD2D39">
            <w:pPr>
              <w:pStyle w:val="TableParagraph"/>
              <w:spacing w:before="226"/>
              <w:ind w:left="296" w:right="2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Cohorts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0313A1" w14:textId="77777777" w:rsidR="009D0E1C" w:rsidRDefault="009D0E1C" w:rsidP="00AD2D39">
            <w:pPr>
              <w:pStyle w:val="TableParagraph"/>
              <w:spacing w:before="226"/>
              <w:ind w:left="72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Females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B14CD06" w14:textId="77777777" w:rsidR="009D0E1C" w:rsidRDefault="009D0E1C" w:rsidP="00AD2D39">
            <w:pPr>
              <w:pStyle w:val="TableParagraph"/>
              <w:spacing w:before="226"/>
              <w:ind w:left="554" w:right="54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Age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0A283D" w14:textId="77777777" w:rsidR="009D0E1C" w:rsidRDefault="009D0E1C" w:rsidP="00AD2D39">
            <w:pPr>
              <w:pStyle w:val="TableParagraph"/>
              <w:spacing w:before="87" w:line="242" w:lineRule="auto"/>
              <w:ind w:left="415" w:right="386" w:firstLine="26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Disease duration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B66376" w14:textId="77777777" w:rsidR="009D0E1C" w:rsidRDefault="009D0E1C" w:rsidP="00AD2D39">
            <w:pPr>
              <w:pStyle w:val="TableParagraph"/>
              <w:spacing w:before="226"/>
              <w:ind w:left="315" w:right="31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EDSS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8125B4A" w14:textId="77777777" w:rsidR="009D0E1C" w:rsidRDefault="009D0E1C" w:rsidP="00AD2D39">
            <w:pPr>
              <w:pStyle w:val="TableParagraph"/>
              <w:spacing w:before="226"/>
              <w:ind w:left="51" w:right="4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Treatment</w:t>
            </w:r>
          </w:p>
        </w:tc>
      </w:tr>
      <w:tr w:rsidR="009D0E1C" w14:paraId="417F2F03" w14:textId="77777777" w:rsidTr="00AD2D39">
        <w:trPr>
          <w:trHeight w:val="705"/>
        </w:trPr>
        <w:tc>
          <w:tcPr>
            <w:tcW w:w="1541" w:type="dxa"/>
          </w:tcPr>
          <w:p w14:paraId="3C016C20" w14:textId="77777777" w:rsidR="009D0E1C" w:rsidRDefault="009D0E1C" w:rsidP="00AD2D39">
            <w:pPr>
              <w:pStyle w:val="TableParagraph"/>
              <w:spacing w:before="211"/>
              <w:ind w:left="57" w:right="46"/>
              <w:rPr>
                <w:sz w:val="24"/>
              </w:rPr>
            </w:pPr>
            <w:r>
              <w:rPr>
                <w:sz w:val="24"/>
              </w:rPr>
              <w:t>Controls (36)</w:t>
            </w:r>
          </w:p>
        </w:tc>
        <w:tc>
          <w:tcPr>
            <w:tcW w:w="1099" w:type="dxa"/>
          </w:tcPr>
          <w:p w14:paraId="1D9DDFAB" w14:textId="77777777" w:rsidR="009D0E1C" w:rsidRDefault="009D0E1C" w:rsidP="00AD2D39">
            <w:pPr>
              <w:pStyle w:val="TableParagraph"/>
              <w:spacing w:before="72"/>
              <w:ind w:left="106" w:righ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14:paraId="4C9A6701" w14:textId="77777777" w:rsidR="009D0E1C" w:rsidRDefault="009D0E1C" w:rsidP="00AD2D39">
            <w:pPr>
              <w:pStyle w:val="TableParagraph"/>
              <w:spacing w:before="2"/>
              <w:ind w:left="106" w:right="101"/>
              <w:rPr>
                <w:sz w:val="24"/>
              </w:rPr>
            </w:pPr>
            <w:r>
              <w:rPr>
                <w:sz w:val="24"/>
              </w:rPr>
              <w:t>(63.9%)</w:t>
            </w:r>
          </w:p>
        </w:tc>
        <w:tc>
          <w:tcPr>
            <w:tcW w:w="1589" w:type="dxa"/>
          </w:tcPr>
          <w:p w14:paraId="5A6E80EE" w14:textId="77777777" w:rsidR="009D0E1C" w:rsidRDefault="009D0E1C" w:rsidP="00AD2D39">
            <w:pPr>
              <w:pStyle w:val="TableParagraph"/>
              <w:spacing w:before="72"/>
              <w:ind w:left="209" w:right="194"/>
              <w:rPr>
                <w:sz w:val="24"/>
              </w:rPr>
            </w:pPr>
            <w:r>
              <w:rPr>
                <w:sz w:val="24"/>
              </w:rPr>
              <w:t>33.2 [22.8:</w:t>
            </w:r>
          </w:p>
          <w:p w14:paraId="5C55160E" w14:textId="77777777" w:rsidR="009D0E1C" w:rsidRDefault="009D0E1C" w:rsidP="00AD2D39">
            <w:pPr>
              <w:pStyle w:val="TableParagraph"/>
              <w:spacing w:before="2"/>
              <w:ind w:left="208" w:right="194"/>
              <w:rPr>
                <w:sz w:val="24"/>
              </w:rPr>
            </w:pPr>
            <w:r>
              <w:rPr>
                <w:sz w:val="24"/>
              </w:rPr>
              <w:t>40.1]</w:t>
            </w:r>
          </w:p>
        </w:tc>
        <w:tc>
          <w:tcPr>
            <w:tcW w:w="1781" w:type="dxa"/>
          </w:tcPr>
          <w:p w14:paraId="473C10FF" w14:textId="77777777" w:rsidR="009D0E1C" w:rsidRDefault="009D0E1C" w:rsidP="00AD2D39">
            <w:pPr>
              <w:pStyle w:val="TableParagraph"/>
              <w:spacing w:before="211"/>
              <w:ind w:left="136" w:right="126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1320" w:type="dxa"/>
          </w:tcPr>
          <w:p w14:paraId="6664CE6A" w14:textId="77777777" w:rsidR="009D0E1C" w:rsidRDefault="009D0E1C" w:rsidP="00AD2D39">
            <w:pPr>
              <w:pStyle w:val="TableParagraph"/>
              <w:spacing w:before="211"/>
              <w:ind w:left="203" w:right="199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1301" w:type="dxa"/>
          </w:tcPr>
          <w:p w14:paraId="444FB929" w14:textId="77777777" w:rsidR="009D0E1C" w:rsidRDefault="009D0E1C" w:rsidP="00AD2D39">
            <w:pPr>
              <w:pStyle w:val="TableParagraph"/>
              <w:spacing w:before="211"/>
              <w:ind w:left="106" w:right="103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</w:tr>
      <w:tr w:rsidR="009D0E1C" w14:paraId="6478410D" w14:textId="77777777" w:rsidTr="00AD2D39">
        <w:trPr>
          <w:trHeight w:val="705"/>
        </w:trPr>
        <w:tc>
          <w:tcPr>
            <w:tcW w:w="1541" w:type="dxa"/>
          </w:tcPr>
          <w:p w14:paraId="473B6D1E" w14:textId="77777777" w:rsidR="009D0E1C" w:rsidRDefault="009D0E1C" w:rsidP="00AD2D39">
            <w:pPr>
              <w:pStyle w:val="TableParagraph"/>
              <w:spacing w:before="211"/>
              <w:ind w:left="57" w:right="46"/>
              <w:rPr>
                <w:sz w:val="24"/>
              </w:rPr>
            </w:pPr>
            <w:r>
              <w:rPr>
                <w:sz w:val="24"/>
              </w:rPr>
              <w:t>RRMS (84)</w:t>
            </w:r>
          </w:p>
        </w:tc>
        <w:tc>
          <w:tcPr>
            <w:tcW w:w="1099" w:type="dxa"/>
          </w:tcPr>
          <w:p w14:paraId="4DD5E85F" w14:textId="77777777" w:rsidR="009D0E1C" w:rsidRDefault="009D0E1C" w:rsidP="00AD2D39">
            <w:pPr>
              <w:pStyle w:val="TableParagraph"/>
              <w:spacing w:before="77" w:line="275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57</w:t>
            </w:r>
          </w:p>
          <w:p w14:paraId="22406180" w14:textId="77777777" w:rsidR="009D0E1C" w:rsidRDefault="009D0E1C" w:rsidP="00AD2D39">
            <w:pPr>
              <w:pStyle w:val="TableParagraph"/>
              <w:spacing w:line="275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(67.9%)</w:t>
            </w:r>
          </w:p>
        </w:tc>
        <w:tc>
          <w:tcPr>
            <w:tcW w:w="1589" w:type="dxa"/>
          </w:tcPr>
          <w:p w14:paraId="1AE92EF0" w14:textId="77777777" w:rsidR="009D0E1C" w:rsidRDefault="009D0E1C" w:rsidP="00AD2D39">
            <w:pPr>
              <w:pStyle w:val="TableParagraph"/>
              <w:spacing w:before="77" w:line="275" w:lineRule="exact"/>
              <w:ind w:left="209" w:right="194"/>
              <w:rPr>
                <w:sz w:val="24"/>
              </w:rPr>
            </w:pPr>
            <w:r>
              <w:rPr>
                <w:sz w:val="24"/>
              </w:rPr>
              <w:t>42.7 [36.0:</w:t>
            </w:r>
          </w:p>
          <w:p w14:paraId="7EBA72F1" w14:textId="77777777" w:rsidR="009D0E1C" w:rsidRDefault="009D0E1C" w:rsidP="00AD2D39">
            <w:pPr>
              <w:pStyle w:val="TableParagraph"/>
              <w:spacing w:line="275" w:lineRule="exact"/>
              <w:ind w:left="208" w:right="194"/>
              <w:rPr>
                <w:sz w:val="24"/>
              </w:rPr>
            </w:pPr>
            <w:r>
              <w:rPr>
                <w:sz w:val="24"/>
              </w:rPr>
              <w:t>49.3]</w:t>
            </w:r>
          </w:p>
        </w:tc>
        <w:tc>
          <w:tcPr>
            <w:tcW w:w="1781" w:type="dxa"/>
          </w:tcPr>
          <w:p w14:paraId="51D88BE0" w14:textId="77777777" w:rsidR="009D0E1C" w:rsidRDefault="009D0E1C" w:rsidP="00AD2D39">
            <w:pPr>
              <w:pStyle w:val="TableParagraph"/>
              <w:spacing w:before="211"/>
              <w:ind w:left="136" w:right="127"/>
              <w:rPr>
                <w:sz w:val="24"/>
              </w:rPr>
            </w:pPr>
            <w:r>
              <w:rPr>
                <w:sz w:val="24"/>
              </w:rPr>
              <w:t>8.7 [3.0: 11.3]</w:t>
            </w:r>
          </w:p>
        </w:tc>
        <w:tc>
          <w:tcPr>
            <w:tcW w:w="1320" w:type="dxa"/>
          </w:tcPr>
          <w:p w14:paraId="7B7AE1D2" w14:textId="77777777" w:rsidR="009D0E1C" w:rsidRDefault="009D0E1C" w:rsidP="00AD2D39">
            <w:pPr>
              <w:pStyle w:val="TableParagraph"/>
              <w:spacing w:before="77" w:line="275" w:lineRule="exact"/>
              <w:ind w:left="203" w:right="199"/>
              <w:rPr>
                <w:sz w:val="24"/>
              </w:rPr>
            </w:pPr>
            <w:r>
              <w:rPr>
                <w:sz w:val="24"/>
              </w:rPr>
              <w:t>1.5 [0.0:</w:t>
            </w:r>
          </w:p>
          <w:p w14:paraId="34362023" w14:textId="77777777" w:rsidR="009D0E1C" w:rsidRDefault="009D0E1C" w:rsidP="00AD2D39">
            <w:pPr>
              <w:pStyle w:val="TableParagraph"/>
              <w:spacing w:line="275" w:lineRule="exact"/>
              <w:ind w:left="203" w:right="199"/>
              <w:rPr>
                <w:sz w:val="24"/>
              </w:rPr>
            </w:pPr>
            <w:r>
              <w:rPr>
                <w:sz w:val="24"/>
              </w:rPr>
              <w:t>2.0]</w:t>
            </w:r>
          </w:p>
        </w:tc>
        <w:tc>
          <w:tcPr>
            <w:tcW w:w="1301" w:type="dxa"/>
          </w:tcPr>
          <w:p w14:paraId="1B7BB975" w14:textId="77777777" w:rsidR="009D0E1C" w:rsidRDefault="009D0E1C" w:rsidP="00AD2D39">
            <w:pPr>
              <w:pStyle w:val="TableParagraph"/>
              <w:spacing w:before="77" w:line="275" w:lineRule="exact"/>
              <w:ind w:left="106" w:righ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  <w:p w14:paraId="74866FB4" w14:textId="77777777" w:rsidR="009D0E1C" w:rsidRDefault="009D0E1C" w:rsidP="00AD2D39">
            <w:pPr>
              <w:pStyle w:val="TableParagraph"/>
              <w:spacing w:line="275" w:lineRule="exact"/>
              <w:ind w:left="106" w:right="103"/>
              <w:rPr>
                <w:sz w:val="24"/>
              </w:rPr>
            </w:pPr>
            <w:r>
              <w:rPr>
                <w:sz w:val="24"/>
              </w:rPr>
              <w:t>(75.0%)</w:t>
            </w:r>
          </w:p>
        </w:tc>
      </w:tr>
      <w:tr w:rsidR="009D0E1C" w14:paraId="7D4165A0" w14:textId="77777777" w:rsidTr="00AD2D39">
        <w:trPr>
          <w:trHeight w:val="565"/>
        </w:trPr>
        <w:tc>
          <w:tcPr>
            <w:tcW w:w="1541" w:type="dxa"/>
          </w:tcPr>
          <w:p w14:paraId="746488E1" w14:textId="77777777" w:rsidR="009D0E1C" w:rsidRDefault="009D0E1C" w:rsidP="00AD2D39">
            <w:pPr>
              <w:pStyle w:val="TableParagraph"/>
              <w:spacing w:before="144"/>
              <w:ind w:left="57" w:right="46"/>
              <w:rPr>
                <w:sz w:val="24"/>
              </w:rPr>
            </w:pPr>
            <w:r>
              <w:rPr>
                <w:sz w:val="24"/>
              </w:rPr>
              <w:t>SPMS (35)</w:t>
            </w:r>
          </w:p>
        </w:tc>
        <w:tc>
          <w:tcPr>
            <w:tcW w:w="1099" w:type="dxa"/>
          </w:tcPr>
          <w:p w14:paraId="4FE414ED" w14:textId="77777777" w:rsidR="009D0E1C" w:rsidRDefault="009D0E1C" w:rsidP="00AD2D39">
            <w:pPr>
              <w:pStyle w:val="TableParagraph"/>
              <w:spacing w:before="5"/>
              <w:ind w:left="106" w:righ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14:paraId="7C03A53B" w14:textId="77777777" w:rsidR="009D0E1C" w:rsidRDefault="009D0E1C" w:rsidP="00AD2D39">
            <w:pPr>
              <w:pStyle w:val="TableParagraph"/>
              <w:spacing w:before="2" w:line="263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(54.3%)</w:t>
            </w:r>
          </w:p>
        </w:tc>
        <w:tc>
          <w:tcPr>
            <w:tcW w:w="1589" w:type="dxa"/>
          </w:tcPr>
          <w:p w14:paraId="32E6C02C" w14:textId="77777777" w:rsidR="009D0E1C" w:rsidRDefault="009D0E1C" w:rsidP="00AD2D39">
            <w:pPr>
              <w:pStyle w:val="TableParagraph"/>
              <w:spacing w:before="5"/>
              <w:ind w:left="209" w:right="194"/>
              <w:rPr>
                <w:sz w:val="24"/>
              </w:rPr>
            </w:pPr>
            <w:r>
              <w:rPr>
                <w:sz w:val="24"/>
              </w:rPr>
              <w:t>54.1 [49.0:</w:t>
            </w:r>
          </w:p>
          <w:p w14:paraId="596715A6" w14:textId="77777777" w:rsidR="009D0E1C" w:rsidRDefault="009D0E1C" w:rsidP="00AD2D39">
            <w:pPr>
              <w:pStyle w:val="TableParagraph"/>
              <w:spacing w:before="2" w:line="263" w:lineRule="exact"/>
              <w:ind w:left="208" w:right="194"/>
              <w:rPr>
                <w:sz w:val="24"/>
              </w:rPr>
            </w:pPr>
            <w:r>
              <w:rPr>
                <w:sz w:val="24"/>
              </w:rPr>
              <w:t>58.0]</w:t>
            </w:r>
          </w:p>
        </w:tc>
        <w:tc>
          <w:tcPr>
            <w:tcW w:w="1781" w:type="dxa"/>
          </w:tcPr>
          <w:p w14:paraId="62B66DF3" w14:textId="77777777" w:rsidR="009D0E1C" w:rsidRDefault="009D0E1C" w:rsidP="00AD2D39">
            <w:pPr>
              <w:pStyle w:val="TableParagraph"/>
              <w:spacing w:before="5"/>
              <w:ind w:left="136" w:right="126"/>
              <w:rPr>
                <w:sz w:val="24"/>
              </w:rPr>
            </w:pPr>
            <w:r>
              <w:rPr>
                <w:sz w:val="24"/>
              </w:rPr>
              <w:t>20.8 [13.0:</w:t>
            </w:r>
          </w:p>
          <w:p w14:paraId="0BA4EBA8" w14:textId="77777777" w:rsidR="009D0E1C" w:rsidRDefault="009D0E1C" w:rsidP="00AD2D39">
            <w:pPr>
              <w:pStyle w:val="TableParagraph"/>
              <w:spacing w:before="2" w:line="263" w:lineRule="exact"/>
              <w:ind w:left="136" w:right="126"/>
              <w:rPr>
                <w:sz w:val="24"/>
              </w:rPr>
            </w:pPr>
            <w:r>
              <w:rPr>
                <w:sz w:val="24"/>
              </w:rPr>
              <w:t>27.0]</w:t>
            </w:r>
          </w:p>
        </w:tc>
        <w:tc>
          <w:tcPr>
            <w:tcW w:w="1320" w:type="dxa"/>
          </w:tcPr>
          <w:p w14:paraId="50F1407B" w14:textId="77777777" w:rsidR="009D0E1C" w:rsidRDefault="009D0E1C" w:rsidP="00AD2D39">
            <w:pPr>
              <w:pStyle w:val="TableParagraph"/>
              <w:spacing w:before="5"/>
              <w:ind w:left="203" w:right="199"/>
              <w:rPr>
                <w:sz w:val="24"/>
              </w:rPr>
            </w:pPr>
            <w:r>
              <w:rPr>
                <w:sz w:val="24"/>
              </w:rPr>
              <w:t>5.2 [4.0:</w:t>
            </w:r>
          </w:p>
          <w:p w14:paraId="52438E37" w14:textId="77777777" w:rsidR="009D0E1C" w:rsidRDefault="009D0E1C" w:rsidP="00AD2D39">
            <w:pPr>
              <w:pStyle w:val="TableParagraph"/>
              <w:spacing w:before="2" w:line="263" w:lineRule="exact"/>
              <w:ind w:left="203" w:right="199"/>
              <w:rPr>
                <w:sz w:val="24"/>
              </w:rPr>
            </w:pPr>
            <w:r>
              <w:rPr>
                <w:sz w:val="24"/>
              </w:rPr>
              <w:t>6.5]</w:t>
            </w:r>
          </w:p>
        </w:tc>
        <w:tc>
          <w:tcPr>
            <w:tcW w:w="1301" w:type="dxa"/>
          </w:tcPr>
          <w:p w14:paraId="04B3C487" w14:textId="77777777" w:rsidR="009D0E1C" w:rsidRDefault="009D0E1C" w:rsidP="00AD2D39">
            <w:pPr>
              <w:pStyle w:val="TableParagraph"/>
              <w:spacing w:before="5"/>
              <w:ind w:left="106" w:righ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14:paraId="7F871BC6" w14:textId="77777777" w:rsidR="009D0E1C" w:rsidRDefault="009D0E1C" w:rsidP="00AD2D39">
            <w:pPr>
              <w:pStyle w:val="TableParagraph"/>
              <w:spacing w:before="2" w:line="263" w:lineRule="exact"/>
              <w:ind w:left="106" w:right="103"/>
              <w:rPr>
                <w:sz w:val="24"/>
              </w:rPr>
            </w:pPr>
            <w:r>
              <w:rPr>
                <w:sz w:val="24"/>
              </w:rPr>
              <w:t>(60.0%)</w:t>
            </w:r>
          </w:p>
        </w:tc>
      </w:tr>
      <w:tr w:rsidR="009D0E1C" w14:paraId="6A85BAA0" w14:textId="77777777" w:rsidTr="00AD2D39">
        <w:trPr>
          <w:trHeight w:val="570"/>
        </w:trPr>
        <w:tc>
          <w:tcPr>
            <w:tcW w:w="1541" w:type="dxa"/>
          </w:tcPr>
          <w:p w14:paraId="50E49E24" w14:textId="77777777" w:rsidR="009D0E1C" w:rsidRDefault="009D0E1C" w:rsidP="00AD2D39">
            <w:pPr>
              <w:pStyle w:val="TableParagraph"/>
              <w:spacing w:before="149"/>
              <w:ind w:left="57" w:right="46"/>
              <w:rPr>
                <w:sz w:val="24"/>
              </w:rPr>
            </w:pPr>
            <w:r>
              <w:rPr>
                <w:sz w:val="24"/>
              </w:rPr>
              <w:t>PPMS (41)</w:t>
            </w:r>
          </w:p>
        </w:tc>
        <w:tc>
          <w:tcPr>
            <w:tcW w:w="1099" w:type="dxa"/>
          </w:tcPr>
          <w:p w14:paraId="6D939E05" w14:textId="77777777" w:rsidR="009D0E1C" w:rsidRDefault="009D0E1C" w:rsidP="00AD2D39">
            <w:pPr>
              <w:pStyle w:val="TableParagraph"/>
              <w:spacing w:before="10" w:line="275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14:paraId="532228F1" w14:textId="77777777" w:rsidR="009D0E1C" w:rsidRDefault="009D0E1C" w:rsidP="00AD2D39">
            <w:pPr>
              <w:pStyle w:val="TableParagraph"/>
              <w:spacing w:line="266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(48.8%)</w:t>
            </w:r>
          </w:p>
        </w:tc>
        <w:tc>
          <w:tcPr>
            <w:tcW w:w="1589" w:type="dxa"/>
          </w:tcPr>
          <w:p w14:paraId="60897A98" w14:textId="77777777" w:rsidR="009D0E1C" w:rsidRDefault="009D0E1C" w:rsidP="00AD2D39">
            <w:pPr>
              <w:pStyle w:val="TableParagraph"/>
              <w:spacing w:before="10" w:line="275" w:lineRule="exact"/>
              <w:ind w:left="209" w:right="194"/>
              <w:rPr>
                <w:sz w:val="24"/>
              </w:rPr>
            </w:pPr>
            <w:r>
              <w:rPr>
                <w:sz w:val="24"/>
              </w:rPr>
              <w:t>49.5 [44.0:</w:t>
            </w:r>
          </w:p>
          <w:p w14:paraId="1530F948" w14:textId="77777777" w:rsidR="009D0E1C" w:rsidRDefault="009D0E1C" w:rsidP="00AD2D39">
            <w:pPr>
              <w:pStyle w:val="TableParagraph"/>
              <w:spacing w:line="266" w:lineRule="exact"/>
              <w:ind w:left="208" w:right="194"/>
              <w:rPr>
                <w:sz w:val="24"/>
              </w:rPr>
            </w:pPr>
            <w:r>
              <w:rPr>
                <w:sz w:val="24"/>
              </w:rPr>
              <w:t>55.8]</w:t>
            </w:r>
          </w:p>
        </w:tc>
        <w:tc>
          <w:tcPr>
            <w:tcW w:w="1781" w:type="dxa"/>
          </w:tcPr>
          <w:p w14:paraId="12D7ED64" w14:textId="77777777" w:rsidR="009D0E1C" w:rsidRDefault="009D0E1C" w:rsidP="00AD2D39">
            <w:pPr>
              <w:pStyle w:val="TableParagraph"/>
              <w:spacing w:before="149"/>
              <w:ind w:left="136" w:right="126"/>
              <w:rPr>
                <w:sz w:val="24"/>
              </w:rPr>
            </w:pPr>
            <w:r>
              <w:rPr>
                <w:sz w:val="24"/>
              </w:rPr>
              <w:t>6.5 [3.0: 8.0]</w:t>
            </w:r>
          </w:p>
        </w:tc>
        <w:tc>
          <w:tcPr>
            <w:tcW w:w="1320" w:type="dxa"/>
          </w:tcPr>
          <w:p w14:paraId="00BACB95" w14:textId="77777777" w:rsidR="009D0E1C" w:rsidRDefault="009D0E1C" w:rsidP="00AD2D39">
            <w:pPr>
              <w:pStyle w:val="TableParagraph"/>
              <w:spacing w:before="10" w:line="275" w:lineRule="exact"/>
              <w:ind w:left="203" w:right="199"/>
              <w:rPr>
                <w:sz w:val="24"/>
              </w:rPr>
            </w:pPr>
            <w:r>
              <w:rPr>
                <w:sz w:val="24"/>
              </w:rPr>
              <w:t>3.9 [3.0:</w:t>
            </w:r>
          </w:p>
          <w:p w14:paraId="1920B3BA" w14:textId="77777777" w:rsidR="009D0E1C" w:rsidRDefault="009D0E1C" w:rsidP="00AD2D39">
            <w:pPr>
              <w:pStyle w:val="TableParagraph"/>
              <w:spacing w:line="266" w:lineRule="exact"/>
              <w:ind w:left="203" w:right="199"/>
              <w:rPr>
                <w:sz w:val="24"/>
              </w:rPr>
            </w:pPr>
            <w:r>
              <w:rPr>
                <w:sz w:val="24"/>
              </w:rPr>
              <w:t>4.5]</w:t>
            </w:r>
          </w:p>
        </w:tc>
        <w:tc>
          <w:tcPr>
            <w:tcW w:w="1301" w:type="dxa"/>
          </w:tcPr>
          <w:p w14:paraId="169B9A93" w14:textId="77777777" w:rsidR="009D0E1C" w:rsidRDefault="009D0E1C" w:rsidP="00AD2D39">
            <w:pPr>
              <w:pStyle w:val="TableParagraph"/>
              <w:spacing w:before="149"/>
              <w:ind w:left="106" w:right="103"/>
              <w:rPr>
                <w:sz w:val="24"/>
              </w:rPr>
            </w:pPr>
            <w:r>
              <w:rPr>
                <w:sz w:val="24"/>
              </w:rPr>
              <w:t>9 (22.0%)</w:t>
            </w:r>
          </w:p>
        </w:tc>
      </w:tr>
    </w:tbl>
    <w:p w14:paraId="27557DAE" w14:textId="77777777" w:rsidR="009D0E1C" w:rsidRDefault="009D0E1C" w:rsidP="009D0E1C">
      <w:pPr>
        <w:pStyle w:val="BodyText"/>
        <w:rPr>
          <w:sz w:val="26"/>
        </w:rPr>
      </w:pPr>
    </w:p>
    <w:p w14:paraId="15C34D70" w14:textId="77777777" w:rsidR="009D0E1C" w:rsidRDefault="009D0E1C" w:rsidP="009D0E1C">
      <w:pPr>
        <w:pStyle w:val="BodyText"/>
        <w:rPr>
          <w:sz w:val="22"/>
        </w:rPr>
      </w:pPr>
    </w:p>
    <w:p w14:paraId="007E7145" w14:textId="77777777" w:rsidR="009D0E1C" w:rsidRDefault="009D0E1C" w:rsidP="009D0E1C">
      <w:pPr>
        <w:pStyle w:val="BodyText"/>
        <w:spacing w:line="480" w:lineRule="auto"/>
        <w:ind w:left="163" w:right="114"/>
        <w:jc w:val="both"/>
      </w:pPr>
      <w:r>
        <w:rPr>
          <w:color w:val="4472C4"/>
        </w:rPr>
        <w:t xml:space="preserve">“Females” indicates the absolute number and percentage of females in the </w:t>
      </w:r>
      <w:r>
        <w:rPr>
          <w:color w:val="4472C4"/>
          <w:spacing w:val="-3"/>
        </w:rPr>
        <w:t xml:space="preserve">group. </w:t>
      </w:r>
      <w:r>
        <w:rPr>
          <w:color w:val="4472C4"/>
        </w:rPr>
        <w:t>"Age", "Disease duration" and "EDSS" are shown as mean, with 25% and 75% percentiles indicated in square brackets. “Treatment" indicates the absolute number and percentage of treated patients. No additional relevant comorbidities or pharmaceutical treatments were reported in patients or controls.</w:t>
      </w:r>
    </w:p>
    <w:p w14:paraId="0DCC24A8" w14:textId="77777777" w:rsidR="009D0E1C" w:rsidRDefault="009D0E1C" w:rsidP="009D0E1C">
      <w:pPr>
        <w:spacing w:line="480" w:lineRule="auto"/>
        <w:jc w:val="both"/>
        <w:sectPr w:rsidR="009D0E1C">
          <w:pgSz w:w="11900" w:h="16840"/>
          <w:pgMar w:top="1340" w:right="1300" w:bottom="980" w:left="1680" w:header="0" w:footer="720" w:gutter="0"/>
          <w:cols w:space="720"/>
        </w:sectPr>
      </w:pPr>
    </w:p>
    <w:p w14:paraId="6BA70A89" w14:textId="77777777" w:rsidR="009D0E1C" w:rsidRDefault="009D0E1C" w:rsidP="009D0E1C">
      <w:pPr>
        <w:pStyle w:val="Heading1"/>
      </w:pPr>
      <w:r>
        <w:rPr>
          <w:color w:val="4472C4"/>
        </w:rPr>
        <w:lastRenderedPageBreak/>
        <w:t>Supplementary Table 2: Characteristics of longitudinal RRMS patients</w:t>
      </w:r>
    </w:p>
    <w:p w14:paraId="024C1662" w14:textId="77777777" w:rsidR="009D0E1C" w:rsidRDefault="009D0E1C" w:rsidP="009D0E1C">
      <w:pPr>
        <w:pStyle w:val="BodyText"/>
        <w:spacing w:before="10" w:after="1"/>
        <w:rPr>
          <w:b/>
          <w:sz w:val="23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644"/>
        <w:gridCol w:w="812"/>
        <w:gridCol w:w="1441"/>
        <w:gridCol w:w="1283"/>
        <w:gridCol w:w="2166"/>
        <w:gridCol w:w="1273"/>
      </w:tblGrid>
      <w:tr w:rsidR="009D0E1C" w14:paraId="72FF9925" w14:textId="77777777" w:rsidTr="00AD2D39">
        <w:trPr>
          <w:trHeight w:val="643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C0358FC" w14:textId="77777777" w:rsidR="009D0E1C" w:rsidRDefault="009D0E1C" w:rsidP="00AD2D39">
            <w:pPr>
              <w:pStyle w:val="TableParagraph"/>
              <w:spacing w:before="10"/>
              <w:ind w:left="90" w:right="8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Patient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7799BE8" w14:textId="77777777" w:rsidR="009D0E1C" w:rsidRDefault="009D0E1C" w:rsidP="00AD2D39">
            <w:pPr>
              <w:pStyle w:val="TableParagraph"/>
              <w:spacing w:before="10"/>
              <w:ind w:left="90" w:right="8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Sex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5EF464" w14:textId="77777777" w:rsidR="009D0E1C" w:rsidRDefault="009D0E1C" w:rsidP="00AD2D39">
            <w:pPr>
              <w:pStyle w:val="TableParagraph"/>
              <w:spacing w:before="10" w:line="242" w:lineRule="auto"/>
              <w:ind w:left="265" w:right="154" w:hanging="81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Age (y)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8D26364" w14:textId="77777777" w:rsidR="009D0E1C" w:rsidRDefault="009D0E1C" w:rsidP="00AD2D39">
            <w:pPr>
              <w:pStyle w:val="TableParagraph"/>
              <w:spacing w:before="10" w:line="242" w:lineRule="auto"/>
              <w:ind w:left="578" w:right="156" w:hanging="394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Diagnose (y)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A3BBC9B" w14:textId="77777777" w:rsidR="009D0E1C" w:rsidRDefault="009D0E1C" w:rsidP="00AD2D39">
            <w:pPr>
              <w:pStyle w:val="TableParagraph"/>
              <w:spacing w:before="10"/>
              <w:ind w:left="87" w:right="8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EDSS</w:t>
            </w:r>
          </w:p>
          <w:p w14:paraId="60BF78DF" w14:textId="77777777" w:rsidR="009D0E1C" w:rsidRDefault="009D0E1C" w:rsidP="00AD2D39">
            <w:pPr>
              <w:pStyle w:val="TableParagraph"/>
              <w:spacing w:before="2"/>
              <w:ind w:left="87" w:right="8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Start/End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C8CF8E0" w14:textId="77777777" w:rsidR="009D0E1C" w:rsidRDefault="009D0E1C" w:rsidP="00AD2D39">
            <w:pPr>
              <w:pStyle w:val="TableParagraph"/>
              <w:spacing w:before="10" w:line="242" w:lineRule="auto"/>
              <w:ind w:left="425" w:right="361" w:hanging="41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Observation duration (y)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7347880" w14:textId="77777777" w:rsidR="009D0E1C" w:rsidRDefault="009D0E1C" w:rsidP="00AD2D39">
            <w:pPr>
              <w:pStyle w:val="TableParagraph"/>
              <w:spacing w:before="10"/>
              <w:ind w:left="89" w:right="8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Relapses</w:t>
            </w:r>
          </w:p>
        </w:tc>
      </w:tr>
      <w:tr w:rsidR="009D0E1C" w14:paraId="0AAA653F" w14:textId="77777777" w:rsidTr="00AD2D39">
        <w:trPr>
          <w:trHeight w:val="412"/>
        </w:trPr>
        <w:tc>
          <w:tcPr>
            <w:tcW w:w="1018" w:type="dxa"/>
          </w:tcPr>
          <w:p w14:paraId="52A307B1" w14:textId="77777777" w:rsidR="009D0E1C" w:rsidRDefault="009D0E1C" w:rsidP="00AD2D39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4" w:type="dxa"/>
          </w:tcPr>
          <w:p w14:paraId="536AF6D4" w14:textId="77777777" w:rsidR="009D0E1C" w:rsidRDefault="009D0E1C" w:rsidP="00AD2D39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12" w:type="dxa"/>
          </w:tcPr>
          <w:p w14:paraId="498C0193" w14:textId="77777777" w:rsidR="009D0E1C" w:rsidRDefault="009D0E1C" w:rsidP="00AD2D39">
            <w:pPr>
              <w:pStyle w:val="TableParagraph"/>
              <w:spacing w:line="271" w:lineRule="exact"/>
              <w:ind w:left="253" w:right="24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441" w:type="dxa"/>
          </w:tcPr>
          <w:p w14:paraId="1B254716" w14:textId="77777777" w:rsidR="009D0E1C" w:rsidRDefault="009D0E1C" w:rsidP="00AD2D39">
            <w:pPr>
              <w:pStyle w:val="TableParagraph"/>
              <w:spacing w:line="271" w:lineRule="exact"/>
              <w:ind w:left="432" w:right="424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283" w:type="dxa"/>
          </w:tcPr>
          <w:p w14:paraId="0024D2F0" w14:textId="77777777" w:rsidR="009D0E1C" w:rsidRDefault="009D0E1C" w:rsidP="00AD2D39">
            <w:pPr>
              <w:pStyle w:val="TableParagraph"/>
              <w:spacing w:line="271" w:lineRule="exact"/>
              <w:ind w:left="88" w:right="89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2166" w:type="dxa"/>
          </w:tcPr>
          <w:p w14:paraId="1FBD00A7" w14:textId="77777777" w:rsidR="009D0E1C" w:rsidRDefault="009D0E1C" w:rsidP="00AD2D39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3" w:type="dxa"/>
          </w:tcPr>
          <w:p w14:paraId="30CEDABD" w14:textId="77777777" w:rsidR="009D0E1C" w:rsidRDefault="009D0E1C" w:rsidP="00AD2D3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0E1C" w14:paraId="4E14FCBB" w14:textId="77777777" w:rsidTr="00AD2D39">
        <w:trPr>
          <w:trHeight w:val="412"/>
        </w:trPr>
        <w:tc>
          <w:tcPr>
            <w:tcW w:w="1018" w:type="dxa"/>
          </w:tcPr>
          <w:p w14:paraId="45FADA88" w14:textId="77777777" w:rsidR="009D0E1C" w:rsidRDefault="009D0E1C" w:rsidP="00AD2D3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4" w:type="dxa"/>
          </w:tcPr>
          <w:p w14:paraId="439E7989" w14:textId="77777777" w:rsidR="009D0E1C" w:rsidRDefault="009D0E1C" w:rsidP="00AD2D3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12" w:type="dxa"/>
          </w:tcPr>
          <w:p w14:paraId="31A9465A" w14:textId="77777777" w:rsidR="009D0E1C" w:rsidRDefault="009D0E1C" w:rsidP="00AD2D39">
            <w:pPr>
              <w:pStyle w:val="TableParagraph"/>
              <w:ind w:left="253" w:right="24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441" w:type="dxa"/>
          </w:tcPr>
          <w:p w14:paraId="45FCAC68" w14:textId="77777777" w:rsidR="009D0E1C" w:rsidRDefault="009D0E1C" w:rsidP="00AD2D39">
            <w:pPr>
              <w:pStyle w:val="TableParagraph"/>
              <w:ind w:left="432" w:right="424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1283" w:type="dxa"/>
          </w:tcPr>
          <w:p w14:paraId="096EF717" w14:textId="77777777" w:rsidR="009D0E1C" w:rsidRDefault="009D0E1C" w:rsidP="00AD2D39">
            <w:pPr>
              <w:pStyle w:val="TableParagraph"/>
              <w:ind w:left="88" w:right="89"/>
              <w:rPr>
                <w:sz w:val="24"/>
              </w:rPr>
            </w:pPr>
            <w:r>
              <w:rPr>
                <w:sz w:val="24"/>
              </w:rPr>
              <w:t>2.5/2.5</w:t>
            </w:r>
          </w:p>
        </w:tc>
        <w:tc>
          <w:tcPr>
            <w:tcW w:w="2166" w:type="dxa"/>
          </w:tcPr>
          <w:p w14:paraId="0109D0A7" w14:textId="77777777" w:rsidR="009D0E1C" w:rsidRDefault="009D0E1C" w:rsidP="00AD2D3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3" w:type="dxa"/>
          </w:tcPr>
          <w:p w14:paraId="709638FC" w14:textId="77777777" w:rsidR="009D0E1C" w:rsidRDefault="009D0E1C" w:rsidP="00AD2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D0E1C" w14:paraId="3903B4D8" w14:textId="77777777" w:rsidTr="00AD2D39">
        <w:trPr>
          <w:trHeight w:val="417"/>
        </w:trPr>
        <w:tc>
          <w:tcPr>
            <w:tcW w:w="1018" w:type="dxa"/>
          </w:tcPr>
          <w:p w14:paraId="16306794" w14:textId="77777777" w:rsidR="009D0E1C" w:rsidRDefault="009D0E1C" w:rsidP="00AD2D3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4" w:type="dxa"/>
          </w:tcPr>
          <w:p w14:paraId="5A0263D8" w14:textId="77777777" w:rsidR="009D0E1C" w:rsidRDefault="009D0E1C" w:rsidP="00AD2D3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12" w:type="dxa"/>
          </w:tcPr>
          <w:p w14:paraId="28BD2F76" w14:textId="77777777" w:rsidR="009D0E1C" w:rsidRDefault="009D0E1C" w:rsidP="00AD2D39">
            <w:pPr>
              <w:pStyle w:val="TableParagraph"/>
              <w:ind w:left="253" w:right="24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441" w:type="dxa"/>
          </w:tcPr>
          <w:p w14:paraId="7CD27B1C" w14:textId="77777777" w:rsidR="009D0E1C" w:rsidRDefault="009D0E1C" w:rsidP="00AD2D39">
            <w:pPr>
              <w:pStyle w:val="TableParagraph"/>
              <w:ind w:left="432" w:right="424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283" w:type="dxa"/>
          </w:tcPr>
          <w:p w14:paraId="31C9D8AF" w14:textId="77777777" w:rsidR="009D0E1C" w:rsidRDefault="009D0E1C" w:rsidP="00AD2D39">
            <w:pPr>
              <w:pStyle w:val="TableParagraph"/>
              <w:ind w:left="88" w:right="89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2166" w:type="dxa"/>
          </w:tcPr>
          <w:p w14:paraId="278A80A0" w14:textId="77777777" w:rsidR="009D0E1C" w:rsidRDefault="009D0E1C" w:rsidP="00AD2D3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3" w:type="dxa"/>
          </w:tcPr>
          <w:p w14:paraId="077545CE" w14:textId="77777777" w:rsidR="009D0E1C" w:rsidRDefault="009D0E1C" w:rsidP="00AD2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0E1C" w14:paraId="241BB52B" w14:textId="77777777" w:rsidTr="00AD2D39">
        <w:trPr>
          <w:trHeight w:val="412"/>
        </w:trPr>
        <w:tc>
          <w:tcPr>
            <w:tcW w:w="1018" w:type="dxa"/>
          </w:tcPr>
          <w:p w14:paraId="5E3DA778" w14:textId="77777777" w:rsidR="009D0E1C" w:rsidRDefault="009D0E1C" w:rsidP="00AD2D3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4" w:type="dxa"/>
          </w:tcPr>
          <w:p w14:paraId="7E4EA119" w14:textId="77777777" w:rsidR="009D0E1C" w:rsidRDefault="009D0E1C" w:rsidP="00AD2D3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12" w:type="dxa"/>
          </w:tcPr>
          <w:p w14:paraId="29873B9D" w14:textId="77777777" w:rsidR="009D0E1C" w:rsidRDefault="009D0E1C" w:rsidP="00AD2D39">
            <w:pPr>
              <w:pStyle w:val="TableParagraph"/>
              <w:ind w:left="253" w:right="24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441" w:type="dxa"/>
          </w:tcPr>
          <w:p w14:paraId="4406AF81" w14:textId="77777777" w:rsidR="009D0E1C" w:rsidRDefault="009D0E1C" w:rsidP="00AD2D39">
            <w:pPr>
              <w:pStyle w:val="TableParagraph"/>
              <w:ind w:left="432" w:right="424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283" w:type="dxa"/>
          </w:tcPr>
          <w:p w14:paraId="4F87CDEA" w14:textId="77777777" w:rsidR="009D0E1C" w:rsidRDefault="009D0E1C" w:rsidP="00AD2D39">
            <w:pPr>
              <w:pStyle w:val="TableParagraph"/>
              <w:ind w:left="88" w:right="89"/>
              <w:rPr>
                <w:sz w:val="24"/>
              </w:rPr>
            </w:pPr>
            <w:r>
              <w:rPr>
                <w:sz w:val="24"/>
              </w:rPr>
              <w:t>2/2.5</w:t>
            </w:r>
          </w:p>
        </w:tc>
        <w:tc>
          <w:tcPr>
            <w:tcW w:w="2166" w:type="dxa"/>
          </w:tcPr>
          <w:p w14:paraId="27F372FC" w14:textId="77777777" w:rsidR="009D0E1C" w:rsidRDefault="009D0E1C" w:rsidP="00AD2D3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3" w:type="dxa"/>
          </w:tcPr>
          <w:p w14:paraId="418EF361" w14:textId="77777777" w:rsidR="009D0E1C" w:rsidRDefault="009D0E1C" w:rsidP="00AD2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D0E1C" w14:paraId="1D9A7515" w14:textId="77777777" w:rsidTr="00AD2D39">
        <w:trPr>
          <w:trHeight w:val="417"/>
        </w:trPr>
        <w:tc>
          <w:tcPr>
            <w:tcW w:w="1018" w:type="dxa"/>
          </w:tcPr>
          <w:p w14:paraId="5601FFCC" w14:textId="77777777" w:rsidR="009D0E1C" w:rsidRDefault="009D0E1C" w:rsidP="00AD2D3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4" w:type="dxa"/>
          </w:tcPr>
          <w:p w14:paraId="25BF1266" w14:textId="77777777" w:rsidR="009D0E1C" w:rsidRDefault="009D0E1C" w:rsidP="00AD2D3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12" w:type="dxa"/>
          </w:tcPr>
          <w:p w14:paraId="2E318C00" w14:textId="77777777" w:rsidR="009D0E1C" w:rsidRDefault="009D0E1C" w:rsidP="00AD2D39">
            <w:pPr>
              <w:pStyle w:val="TableParagraph"/>
              <w:ind w:left="253" w:right="24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441" w:type="dxa"/>
          </w:tcPr>
          <w:p w14:paraId="3DD4B7A3" w14:textId="77777777" w:rsidR="009D0E1C" w:rsidRDefault="009D0E1C" w:rsidP="00AD2D39">
            <w:pPr>
              <w:pStyle w:val="TableParagraph"/>
              <w:ind w:left="432" w:right="424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283" w:type="dxa"/>
          </w:tcPr>
          <w:p w14:paraId="2495C7AD" w14:textId="77777777" w:rsidR="009D0E1C" w:rsidRDefault="009D0E1C" w:rsidP="00AD2D39">
            <w:pPr>
              <w:pStyle w:val="TableParagraph"/>
              <w:ind w:left="88" w:right="89"/>
              <w:rPr>
                <w:sz w:val="24"/>
              </w:rPr>
            </w:pPr>
            <w:r>
              <w:rPr>
                <w:sz w:val="24"/>
              </w:rPr>
              <w:t>1.5/1.5</w:t>
            </w:r>
          </w:p>
        </w:tc>
        <w:tc>
          <w:tcPr>
            <w:tcW w:w="2166" w:type="dxa"/>
          </w:tcPr>
          <w:p w14:paraId="2119FB10" w14:textId="77777777" w:rsidR="009D0E1C" w:rsidRDefault="009D0E1C" w:rsidP="00AD2D3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3" w:type="dxa"/>
          </w:tcPr>
          <w:p w14:paraId="7CC145AA" w14:textId="77777777" w:rsidR="009D0E1C" w:rsidRDefault="009D0E1C" w:rsidP="00AD2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0E1C" w14:paraId="0C1B4919" w14:textId="77777777" w:rsidTr="00AD2D39">
        <w:trPr>
          <w:trHeight w:val="412"/>
        </w:trPr>
        <w:tc>
          <w:tcPr>
            <w:tcW w:w="1018" w:type="dxa"/>
          </w:tcPr>
          <w:p w14:paraId="498A76E0" w14:textId="77777777" w:rsidR="009D0E1C" w:rsidRDefault="009D0E1C" w:rsidP="00AD2D3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4" w:type="dxa"/>
          </w:tcPr>
          <w:p w14:paraId="5FFF5DD1" w14:textId="77777777" w:rsidR="009D0E1C" w:rsidRDefault="009D0E1C" w:rsidP="00AD2D3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12" w:type="dxa"/>
          </w:tcPr>
          <w:p w14:paraId="62BF1116" w14:textId="77777777" w:rsidR="009D0E1C" w:rsidRDefault="009D0E1C" w:rsidP="00AD2D39">
            <w:pPr>
              <w:pStyle w:val="TableParagraph"/>
              <w:ind w:left="253" w:right="24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41" w:type="dxa"/>
          </w:tcPr>
          <w:p w14:paraId="56FF63FD" w14:textId="77777777" w:rsidR="009D0E1C" w:rsidRDefault="009D0E1C" w:rsidP="00AD2D39">
            <w:pPr>
              <w:pStyle w:val="TableParagraph"/>
              <w:ind w:left="432" w:right="424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283" w:type="dxa"/>
          </w:tcPr>
          <w:p w14:paraId="1EABC970" w14:textId="77777777" w:rsidR="009D0E1C" w:rsidRDefault="009D0E1C" w:rsidP="00AD2D39">
            <w:pPr>
              <w:pStyle w:val="TableParagraph"/>
              <w:ind w:left="88" w:right="89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2166" w:type="dxa"/>
          </w:tcPr>
          <w:p w14:paraId="3F5B9013" w14:textId="77777777" w:rsidR="009D0E1C" w:rsidRDefault="009D0E1C" w:rsidP="00AD2D3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3" w:type="dxa"/>
          </w:tcPr>
          <w:p w14:paraId="36B30032" w14:textId="77777777" w:rsidR="009D0E1C" w:rsidRDefault="009D0E1C" w:rsidP="00AD2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D0E1C" w14:paraId="5CD6C49E" w14:textId="77777777" w:rsidTr="00AD2D39">
        <w:trPr>
          <w:trHeight w:val="417"/>
        </w:trPr>
        <w:tc>
          <w:tcPr>
            <w:tcW w:w="1018" w:type="dxa"/>
          </w:tcPr>
          <w:p w14:paraId="0DCFE9C6" w14:textId="77777777" w:rsidR="009D0E1C" w:rsidRDefault="009D0E1C" w:rsidP="00AD2D3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44" w:type="dxa"/>
          </w:tcPr>
          <w:p w14:paraId="7C48126A" w14:textId="77777777" w:rsidR="009D0E1C" w:rsidRDefault="009D0E1C" w:rsidP="00AD2D3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12" w:type="dxa"/>
          </w:tcPr>
          <w:p w14:paraId="73F76344" w14:textId="77777777" w:rsidR="009D0E1C" w:rsidRDefault="009D0E1C" w:rsidP="00AD2D39">
            <w:pPr>
              <w:pStyle w:val="TableParagraph"/>
              <w:ind w:left="253" w:right="24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441" w:type="dxa"/>
          </w:tcPr>
          <w:p w14:paraId="74A82428" w14:textId="77777777" w:rsidR="009D0E1C" w:rsidRDefault="009D0E1C" w:rsidP="00AD2D39">
            <w:pPr>
              <w:pStyle w:val="TableParagraph"/>
              <w:ind w:left="432" w:right="424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283" w:type="dxa"/>
          </w:tcPr>
          <w:p w14:paraId="7180077E" w14:textId="77777777" w:rsidR="009D0E1C" w:rsidRDefault="009D0E1C" w:rsidP="00AD2D39">
            <w:pPr>
              <w:pStyle w:val="TableParagraph"/>
              <w:ind w:left="88" w:right="89"/>
              <w:rPr>
                <w:sz w:val="24"/>
              </w:rPr>
            </w:pPr>
            <w:r>
              <w:rPr>
                <w:sz w:val="24"/>
              </w:rPr>
              <w:t>1.5/2</w:t>
            </w:r>
          </w:p>
        </w:tc>
        <w:tc>
          <w:tcPr>
            <w:tcW w:w="2166" w:type="dxa"/>
          </w:tcPr>
          <w:p w14:paraId="57AC5B71" w14:textId="77777777" w:rsidR="009D0E1C" w:rsidRDefault="009D0E1C" w:rsidP="00AD2D3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3" w:type="dxa"/>
          </w:tcPr>
          <w:p w14:paraId="0A3CE2D5" w14:textId="77777777" w:rsidR="009D0E1C" w:rsidRDefault="009D0E1C" w:rsidP="00AD2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0E1C" w14:paraId="2570264E" w14:textId="77777777" w:rsidTr="00AD2D39">
        <w:trPr>
          <w:trHeight w:val="412"/>
        </w:trPr>
        <w:tc>
          <w:tcPr>
            <w:tcW w:w="1018" w:type="dxa"/>
          </w:tcPr>
          <w:p w14:paraId="3641C6ED" w14:textId="77777777" w:rsidR="009D0E1C" w:rsidRDefault="009D0E1C" w:rsidP="00AD2D3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4" w:type="dxa"/>
          </w:tcPr>
          <w:p w14:paraId="147950A9" w14:textId="77777777" w:rsidR="009D0E1C" w:rsidRDefault="009D0E1C" w:rsidP="00AD2D3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12" w:type="dxa"/>
          </w:tcPr>
          <w:p w14:paraId="0D181FB7" w14:textId="77777777" w:rsidR="009D0E1C" w:rsidRDefault="009D0E1C" w:rsidP="00AD2D39">
            <w:pPr>
              <w:pStyle w:val="TableParagraph"/>
              <w:ind w:left="253" w:right="24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41" w:type="dxa"/>
          </w:tcPr>
          <w:p w14:paraId="71856B6C" w14:textId="77777777" w:rsidR="009D0E1C" w:rsidRDefault="009D0E1C" w:rsidP="00AD2D39">
            <w:pPr>
              <w:pStyle w:val="TableParagraph"/>
              <w:ind w:left="432" w:right="424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283" w:type="dxa"/>
          </w:tcPr>
          <w:p w14:paraId="2676F410" w14:textId="77777777" w:rsidR="009D0E1C" w:rsidRDefault="009D0E1C" w:rsidP="00AD2D39">
            <w:pPr>
              <w:pStyle w:val="TableParagraph"/>
              <w:ind w:left="88" w:right="89"/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  <w:tc>
          <w:tcPr>
            <w:tcW w:w="2166" w:type="dxa"/>
          </w:tcPr>
          <w:p w14:paraId="3C7DDDF5" w14:textId="77777777" w:rsidR="009D0E1C" w:rsidRDefault="009D0E1C" w:rsidP="00AD2D39">
            <w:pPr>
              <w:pStyle w:val="TableParagraph"/>
              <w:ind w:left="926" w:right="92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3" w:type="dxa"/>
          </w:tcPr>
          <w:p w14:paraId="43B8D92B" w14:textId="77777777" w:rsidR="009D0E1C" w:rsidRDefault="009D0E1C" w:rsidP="00AD2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0E1C" w14:paraId="17931312" w14:textId="77777777" w:rsidTr="00AD2D39">
        <w:trPr>
          <w:trHeight w:val="417"/>
        </w:trPr>
        <w:tc>
          <w:tcPr>
            <w:tcW w:w="1018" w:type="dxa"/>
          </w:tcPr>
          <w:p w14:paraId="5A7A5673" w14:textId="77777777" w:rsidR="009D0E1C" w:rsidRDefault="009D0E1C" w:rsidP="00AD2D39">
            <w:pPr>
              <w:pStyle w:val="TableParagraph"/>
              <w:spacing w:before="5"/>
              <w:ind w:lef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44" w:type="dxa"/>
          </w:tcPr>
          <w:p w14:paraId="22536AFF" w14:textId="77777777" w:rsidR="009D0E1C" w:rsidRDefault="009D0E1C" w:rsidP="00AD2D39">
            <w:pPr>
              <w:pStyle w:val="TableParagraph"/>
              <w:spacing w:before="5"/>
              <w:ind w:left="4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12" w:type="dxa"/>
          </w:tcPr>
          <w:p w14:paraId="753C7DB8" w14:textId="77777777" w:rsidR="009D0E1C" w:rsidRDefault="009D0E1C" w:rsidP="00AD2D39">
            <w:pPr>
              <w:pStyle w:val="TableParagraph"/>
              <w:spacing w:before="5"/>
              <w:ind w:left="253" w:right="24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441" w:type="dxa"/>
          </w:tcPr>
          <w:p w14:paraId="2CAFE7D1" w14:textId="77777777" w:rsidR="009D0E1C" w:rsidRDefault="009D0E1C" w:rsidP="00AD2D39">
            <w:pPr>
              <w:pStyle w:val="TableParagraph"/>
              <w:spacing w:before="5"/>
              <w:ind w:left="432" w:right="424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283" w:type="dxa"/>
          </w:tcPr>
          <w:p w14:paraId="735D0D05" w14:textId="77777777" w:rsidR="009D0E1C" w:rsidRDefault="009D0E1C" w:rsidP="00AD2D39">
            <w:pPr>
              <w:pStyle w:val="TableParagraph"/>
              <w:spacing w:before="5"/>
              <w:ind w:left="88" w:right="89"/>
              <w:rPr>
                <w:sz w:val="24"/>
              </w:rPr>
            </w:pPr>
            <w:r>
              <w:rPr>
                <w:sz w:val="24"/>
              </w:rPr>
              <w:t>0/3</w:t>
            </w:r>
          </w:p>
        </w:tc>
        <w:tc>
          <w:tcPr>
            <w:tcW w:w="2166" w:type="dxa"/>
          </w:tcPr>
          <w:p w14:paraId="53C97FB0" w14:textId="77777777" w:rsidR="009D0E1C" w:rsidRDefault="009D0E1C" w:rsidP="00AD2D39">
            <w:pPr>
              <w:pStyle w:val="TableParagraph"/>
              <w:spacing w:before="5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3" w:type="dxa"/>
          </w:tcPr>
          <w:p w14:paraId="74345AFA" w14:textId="77777777" w:rsidR="009D0E1C" w:rsidRDefault="009D0E1C" w:rsidP="00AD2D3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D0E1C" w14:paraId="5D204956" w14:textId="77777777" w:rsidTr="00AD2D39">
        <w:trPr>
          <w:trHeight w:val="417"/>
        </w:trPr>
        <w:tc>
          <w:tcPr>
            <w:tcW w:w="1018" w:type="dxa"/>
          </w:tcPr>
          <w:p w14:paraId="004F62E6" w14:textId="77777777" w:rsidR="009D0E1C" w:rsidRDefault="009D0E1C" w:rsidP="00AD2D39">
            <w:pPr>
              <w:pStyle w:val="TableParagraph"/>
              <w:ind w:left="352" w:right="34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4" w:type="dxa"/>
          </w:tcPr>
          <w:p w14:paraId="0091BE5E" w14:textId="77777777" w:rsidR="009D0E1C" w:rsidRDefault="009D0E1C" w:rsidP="00AD2D3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12" w:type="dxa"/>
          </w:tcPr>
          <w:p w14:paraId="7240C116" w14:textId="77777777" w:rsidR="009D0E1C" w:rsidRDefault="009D0E1C" w:rsidP="00AD2D39">
            <w:pPr>
              <w:pStyle w:val="TableParagraph"/>
              <w:ind w:left="253" w:right="24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41" w:type="dxa"/>
          </w:tcPr>
          <w:p w14:paraId="393C6643" w14:textId="77777777" w:rsidR="009D0E1C" w:rsidRDefault="009D0E1C" w:rsidP="00AD2D39">
            <w:pPr>
              <w:pStyle w:val="TableParagraph"/>
              <w:ind w:left="432" w:right="424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283" w:type="dxa"/>
          </w:tcPr>
          <w:p w14:paraId="5D2BDB8D" w14:textId="77777777" w:rsidR="009D0E1C" w:rsidRDefault="009D0E1C" w:rsidP="00AD2D39">
            <w:pPr>
              <w:pStyle w:val="TableParagraph"/>
              <w:ind w:left="88" w:right="89"/>
              <w:rPr>
                <w:sz w:val="24"/>
              </w:rPr>
            </w:pPr>
            <w:r>
              <w:rPr>
                <w:sz w:val="24"/>
              </w:rPr>
              <w:t>1.5/1.5</w:t>
            </w:r>
          </w:p>
        </w:tc>
        <w:tc>
          <w:tcPr>
            <w:tcW w:w="2166" w:type="dxa"/>
          </w:tcPr>
          <w:p w14:paraId="76928770" w14:textId="77777777" w:rsidR="009D0E1C" w:rsidRDefault="009D0E1C" w:rsidP="00AD2D3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3" w:type="dxa"/>
          </w:tcPr>
          <w:p w14:paraId="6E62BE02" w14:textId="77777777" w:rsidR="009D0E1C" w:rsidRDefault="009D0E1C" w:rsidP="00AD2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0E1C" w14:paraId="0A6D2EFF" w14:textId="77777777" w:rsidTr="00AD2D39">
        <w:trPr>
          <w:trHeight w:val="412"/>
        </w:trPr>
        <w:tc>
          <w:tcPr>
            <w:tcW w:w="1018" w:type="dxa"/>
          </w:tcPr>
          <w:p w14:paraId="3AAA56C3" w14:textId="77777777" w:rsidR="009D0E1C" w:rsidRDefault="009D0E1C" w:rsidP="00AD2D39">
            <w:pPr>
              <w:pStyle w:val="TableParagraph"/>
              <w:ind w:left="352" w:right="34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44" w:type="dxa"/>
          </w:tcPr>
          <w:p w14:paraId="33CF4D9C" w14:textId="77777777" w:rsidR="009D0E1C" w:rsidRDefault="009D0E1C" w:rsidP="00AD2D3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12" w:type="dxa"/>
          </w:tcPr>
          <w:p w14:paraId="32E11A30" w14:textId="77777777" w:rsidR="009D0E1C" w:rsidRDefault="009D0E1C" w:rsidP="00AD2D39">
            <w:pPr>
              <w:pStyle w:val="TableParagraph"/>
              <w:ind w:left="253" w:right="24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441" w:type="dxa"/>
          </w:tcPr>
          <w:p w14:paraId="00B665FA" w14:textId="77777777" w:rsidR="009D0E1C" w:rsidRDefault="009D0E1C" w:rsidP="00AD2D39">
            <w:pPr>
              <w:pStyle w:val="TableParagraph"/>
              <w:ind w:left="432" w:right="424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1283" w:type="dxa"/>
          </w:tcPr>
          <w:p w14:paraId="7072E6AF" w14:textId="77777777" w:rsidR="009D0E1C" w:rsidRDefault="009D0E1C" w:rsidP="00AD2D39">
            <w:pPr>
              <w:pStyle w:val="TableParagraph"/>
              <w:ind w:left="88" w:right="89"/>
              <w:rPr>
                <w:sz w:val="24"/>
              </w:rPr>
            </w:pPr>
            <w:r>
              <w:rPr>
                <w:sz w:val="24"/>
              </w:rPr>
              <w:t>1.5/2</w:t>
            </w:r>
          </w:p>
        </w:tc>
        <w:tc>
          <w:tcPr>
            <w:tcW w:w="2166" w:type="dxa"/>
          </w:tcPr>
          <w:p w14:paraId="0308B0A1" w14:textId="77777777" w:rsidR="009D0E1C" w:rsidRDefault="009D0E1C" w:rsidP="00AD2D3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3" w:type="dxa"/>
          </w:tcPr>
          <w:p w14:paraId="7F6CC276" w14:textId="77777777" w:rsidR="009D0E1C" w:rsidRDefault="009D0E1C" w:rsidP="00AD2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D0E1C" w14:paraId="4E6B08DA" w14:textId="77777777" w:rsidTr="00AD2D39">
        <w:trPr>
          <w:trHeight w:val="417"/>
        </w:trPr>
        <w:tc>
          <w:tcPr>
            <w:tcW w:w="1018" w:type="dxa"/>
          </w:tcPr>
          <w:p w14:paraId="19B09613" w14:textId="77777777" w:rsidR="009D0E1C" w:rsidRDefault="009D0E1C" w:rsidP="00AD2D39">
            <w:pPr>
              <w:pStyle w:val="TableParagraph"/>
              <w:ind w:left="352" w:right="34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4" w:type="dxa"/>
          </w:tcPr>
          <w:p w14:paraId="267A1B8A" w14:textId="77777777" w:rsidR="009D0E1C" w:rsidRDefault="009D0E1C" w:rsidP="00AD2D3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12" w:type="dxa"/>
          </w:tcPr>
          <w:p w14:paraId="357F3F4C" w14:textId="77777777" w:rsidR="009D0E1C" w:rsidRDefault="009D0E1C" w:rsidP="00AD2D39">
            <w:pPr>
              <w:pStyle w:val="TableParagraph"/>
              <w:ind w:left="253" w:right="24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441" w:type="dxa"/>
          </w:tcPr>
          <w:p w14:paraId="6DAC08FE" w14:textId="77777777" w:rsidR="009D0E1C" w:rsidRDefault="009D0E1C" w:rsidP="00AD2D39">
            <w:pPr>
              <w:pStyle w:val="TableParagraph"/>
              <w:ind w:left="432" w:right="424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1283" w:type="dxa"/>
          </w:tcPr>
          <w:p w14:paraId="7BE1F5ED" w14:textId="77777777" w:rsidR="009D0E1C" w:rsidRDefault="009D0E1C" w:rsidP="00AD2D39">
            <w:pPr>
              <w:pStyle w:val="TableParagraph"/>
              <w:ind w:left="88" w:right="89"/>
              <w:rPr>
                <w:sz w:val="24"/>
              </w:rPr>
            </w:pPr>
            <w:r>
              <w:rPr>
                <w:sz w:val="24"/>
              </w:rPr>
              <w:t>3/3.5</w:t>
            </w:r>
          </w:p>
        </w:tc>
        <w:tc>
          <w:tcPr>
            <w:tcW w:w="2166" w:type="dxa"/>
          </w:tcPr>
          <w:p w14:paraId="26A47677" w14:textId="77777777" w:rsidR="009D0E1C" w:rsidRDefault="009D0E1C" w:rsidP="00AD2D3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3" w:type="dxa"/>
          </w:tcPr>
          <w:p w14:paraId="0E618654" w14:textId="77777777" w:rsidR="009D0E1C" w:rsidRDefault="009D0E1C" w:rsidP="00AD2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0E1C" w14:paraId="744F897D" w14:textId="77777777" w:rsidTr="00AD2D39">
        <w:trPr>
          <w:trHeight w:val="431"/>
        </w:trPr>
        <w:tc>
          <w:tcPr>
            <w:tcW w:w="1018" w:type="dxa"/>
          </w:tcPr>
          <w:p w14:paraId="7B3F5FD8" w14:textId="77777777" w:rsidR="009D0E1C" w:rsidRDefault="009D0E1C" w:rsidP="00AD2D39">
            <w:pPr>
              <w:pStyle w:val="TableParagraph"/>
              <w:ind w:left="352" w:right="34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44" w:type="dxa"/>
          </w:tcPr>
          <w:p w14:paraId="494CDAB4" w14:textId="77777777" w:rsidR="009D0E1C" w:rsidRDefault="009D0E1C" w:rsidP="00AD2D3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12" w:type="dxa"/>
          </w:tcPr>
          <w:p w14:paraId="246F0156" w14:textId="77777777" w:rsidR="009D0E1C" w:rsidRDefault="009D0E1C" w:rsidP="00AD2D39">
            <w:pPr>
              <w:pStyle w:val="TableParagraph"/>
              <w:ind w:left="253" w:right="24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441" w:type="dxa"/>
          </w:tcPr>
          <w:p w14:paraId="519300D4" w14:textId="77777777" w:rsidR="009D0E1C" w:rsidRDefault="009D0E1C" w:rsidP="00AD2D39">
            <w:pPr>
              <w:pStyle w:val="TableParagraph"/>
              <w:ind w:left="432" w:right="424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283" w:type="dxa"/>
          </w:tcPr>
          <w:p w14:paraId="0F93B4E3" w14:textId="77777777" w:rsidR="009D0E1C" w:rsidRDefault="009D0E1C" w:rsidP="00AD2D39">
            <w:pPr>
              <w:pStyle w:val="TableParagraph"/>
              <w:ind w:left="88" w:right="89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2166" w:type="dxa"/>
          </w:tcPr>
          <w:p w14:paraId="308F2336" w14:textId="77777777" w:rsidR="009D0E1C" w:rsidRDefault="009D0E1C" w:rsidP="00AD2D3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3" w:type="dxa"/>
          </w:tcPr>
          <w:p w14:paraId="7E4691AD" w14:textId="77777777" w:rsidR="009D0E1C" w:rsidRDefault="009D0E1C" w:rsidP="00AD2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2A5A7321" w14:textId="77777777" w:rsidR="009D0E1C" w:rsidRDefault="009D0E1C" w:rsidP="009D0E1C">
      <w:pPr>
        <w:pStyle w:val="BodyText"/>
        <w:rPr>
          <w:b/>
          <w:sz w:val="26"/>
        </w:rPr>
      </w:pPr>
    </w:p>
    <w:p w14:paraId="6AFF700F" w14:textId="77777777" w:rsidR="009D0E1C" w:rsidRDefault="009D0E1C" w:rsidP="009D0E1C">
      <w:pPr>
        <w:pStyle w:val="BodyText"/>
        <w:rPr>
          <w:b/>
          <w:sz w:val="22"/>
        </w:rPr>
      </w:pPr>
    </w:p>
    <w:p w14:paraId="647ADCB1" w14:textId="77777777" w:rsidR="009D0E1C" w:rsidRDefault="009D0E1C" w:rsidP="009D0E1C">
      <w:pPr>
        <w:pStyle w:val="BodyText"/>
        <w:ind w:left="163"/>
      </w:pPr>
      <w:r>
        <w:rPr>
          <w:color w:val="4472C4"/>
        </w:rPr>
        <w:t>“Diagnose” indicates the year of the diagnosis of RRMS.</w:t>
      </w:r>
    </w:p>
    <w:p w14:paraId="58716C35" w14:textId="77777777" w:rsidR="009D0E1C" w:rsidRDefault="009D0E1C" w:rsidP="009D0E1C">
      <w:pPr>
        <w:pStyle w:val="BodyText"/>
      </w:pPr>
    </w:p>
    <w:p w14:paraId="12511B67" w14:textId="77777777" w:rsidR="009D0E1C" w:rsidRDefault="009D0E1C" w:rsidP="009D0E1C">
      <w:pPr>
        <w:pStyle w:val="BodyText"/>
        <w:spacing w:line="480" w:lineRule="auto"/>
        <w:ind w:left="163"/>
      </w:pPr>
      <w:r>
        <w:rPr>
          <w:color w:val="4472C4"/>
        </w:rPr>
        <w:t>“EDSS Start/End” describes the EDSS on the beginning of the observation duration and the at the end of the observation period per patient.</w:t>
      </w:r>
    </w:p>
    <w:p w14:paraId="4C94F258" w14:textId="77777777" w:rsidR="009D0E1C" w:rsidRDefault="009D0E1C" w:rsidP="009D0E1C">
      <w:pPr>
        <w:pStyle w:val="BodyText"/>
        <w:spacing w:line="480" w:lineRule="auto"/>
        <w:ind w:left="163" w:right="105"/>
      </w:pPr>
      <w:r>
        <w:rPr>
          <w:color w:val="4472C4"/>
        </w:rPr>
        <w:t>“Relapses” indicates the absolute number of relapse occurrence during the whole observation period. There was no conversion to SPMS.</w:t>
      </w:r>
    </w:p>
    <w:p w14:paraId="0921EF17" w14:textId="77777777" w:rsidR="009D0E1C" w:rsidRDefault="009D0E1C" w:rsidP="009D0E1C">
      <w:pPr>
        <w:spacing w:line="480" w:lineRule="auto"/>
        <w:sectPr w:rsidR="009D0E1C">
          <w:pgSz w:w="11900" w:h="16840"/>
          <w:pgMar w:top="1340" w:right="1300" w:bottom="980" w:left="1680" w:header="0" w:footer="720" w:gutter="0"/>
          <w:cols w:space="720"/>
        </w:sectPr>
      </w:pPr>
    </w:p>
    <w:p w14:paraId="75DE0604" w14:textId="77777777" w:rsidR="009D0E1C" w:rsidRDefault="009D0E1C" w:rsidP="009D0E1C">
      <w:pPr>
        <w:pStyle w:val="Heading1"/>
        <w:spacing w:line="480" w:lineRule="auto"/>
        <w:ind w:right="655"/>
      </w:pPr>
      <w:r>
        <w:rPr>
          <w:color w:val="4472C4"/>
        </w:rPr>
        <w:lastRenderedPageBreak/>
        <w:t xml:space="preserve">Supplementary Table 3: Correlation of AHR agonistic </w:t>
      </w:r>
      <w:proofErr w:type="spellStart"/>
      <w:r>
        <w:rPr>
          <w:color w:val="4472C4"/>
        </w:rPr>
        <w:t>activites</w:t>
      </w:r>
      <w:proofErr w:type="spellEnd"/>
      <w:r>
        <w:rPr>
          <w:color w:val="4472C4"/>
        </w:rPr>
        <w:t xml:space="preserve"> and MRI parameter per patient</w:t>
      </w: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296"/>
        <w:gridCol w:w="1286"/>
        <w:gridCol w:w="1348"/>
        <w:gridCol w:w="1276"/>
        <w:gridCol w:w="2020"/>
      </w:tblGrid>
      <w:tr w:rsidR="009D0E1C" w14:paraId="36DC2EF8" w14:textId="77777777" w:rsidTr="00AD2D39">
        <w:trPr>
          <w:trHeight w:val="561"/>
        </w:trPr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199BE4A" w14:textId="77777777" w:rsidR="009D0E1C" w:rsidRDefault="009D0E1C" w:rsidP="00AD2D39">
            <w:pPr>
              <w:pStyle w:val="TableParagraph"/>
              <w:spacing w:before="10"/>
              <w:ind w:left="302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Patient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225FA04" w14:textId="77777777" w:rsidR="009D0E1C" w:rsidRDefault="009D0E1C" w:rsidP="00AD2D39">
            <w:pPr>
              <w:pStyle w:val="TableParagraph"/>
              <w:spacing w:before="6" w:line="280" w:lineRule="atLeast"/>
              <w:ind w:left="846" w:right="515" w:hanging="307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Relative AHR </w:t>
            </w:r>
            <w:proofErr w:type="spellStart"/>
            <w:r>
              <w:rPr>
                <w:b/>
                <w:color w:val="FFFFFF"/>
                <w:sz w:val="24"/>
              </w:rPr>
              <w:t>acitivity</w:t>
            </w:r>
            <w:proofErr w:type="spellEnd"/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5F56330" w14:textId="77777777" w:rsidR="009D0E1C" w:rsidRDefault="009D0E1C" w:rsidP="00AD2D39">
            <w:pPr>
              <w:pStyle w:val="TableParagraph"/>
              <w:spacing w:before="10"/>
              <w:ind w:left="135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White matter volume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1EB0C52" w14:textId="77777777" w:rsidR="009D0E1C" w:rsidRDefault="009D0E1C" w:rsidP="00AD2D39">
            <w:pPr>
              <w:pStyle w:val="TableParagraph"/>
              <w:spacing w:before="10"/>
              <w:ind w:left="138" w:right="13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Lesion load</w:t>
            </w:r>
          </w:p>
          <w:p w14:paraId="01445E24" w14:textId="77777777" w:rsidR="009D0E1C" w:rsidRDefault="009D0E1C" w:rsidP="00AD2D39">
            <w:pPr>
              <w:pStyle w:val="TableParagraph"/>
              <w:spacing w:before="8" w:line="274" w:lineRule="exact"/>
              <w:ind w:left="140" w:right="13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volume change in ml</w:t>
            </w:r>
          </w:p>
        </w:tc>
      </w:tr>
      <w:tr w:rsidR="009D0E1C" w14:paraId="1EB37D9B" w14:textId="77777777" w:rsidTr="00AD2D39">
        <w:trPr>
          <w:trHeight w:val="288"/>
        </w:trPr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802BA29" w14:textId="77777777" w:rsidR="009D0E1C" w:rsidRDefault="009D0E1C" w:rsidP="00AD2D39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BAC8292" w14:textId="77777777" w:rsidR="009D0E1C" w:rsidRDefault="009D0E1C" w:rsidP="00AD2D39">
            <w:pPr>
              <w:pStyle w:val="TableParagraph"/>
              <w:spacing w:line="268" w:lineRule="exact"/>
              <w:ind w:left="497" w:right="495"/>
              <w:rPr>
                <w:sz w:val="16"/>
              </w:rPr>
            </w:pPr>
            <w:r>
              <w:rPr>
                <w:color w:val="FFFFFF"/>
                <w:position w:val="-7"/>
                <w:sz w:val="24"/>
              </w:rPr>
              <w:t>R</w:t>
            </w:r>
            <w:r>
              <w:rPr>
                <w:color w:val="FFFFFF"/>
                <w:sz w:val="16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41A066A" w14:textId="77777777" w:rsidR="009D0E1C" w:rsidRDefault="009D0E1C" w:rsidP="00AD2D39">
            <w:pPr>
              <w:pStyle w:val="TableParagraph"/>
              <w:spacing w:before="5" w:line="263" w:lineRule="exact"/>
              <w:ind w:left="5"/>
              <w:rPr>
                <w:sz w:val="24"/>
              </w:rPr>
            </w:pPr>
            <w:r>
              <w:rPr>
                <w:color w:val="FFFFFF"/>
                <w:sz w:val="24"/>
              </w:rPr>
              <w:t>p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574CF25" w14:textId="77777777" w:rsidR="009D0E1C" w:rsidRDefault="009D0E1C" w:rsidP="00AD2D39">
            <w:pPr>
              <w:pStyle w:val="TableParagraph"/>
              <w:spacing w:line="268" w:lineRule="exact"/>
              <w:ind w:left="525" w:right="519"/>
              <w:rPr>
                <w:sz w:val="16"/>
              </w:rPr>
            </w:pPr>
            <w:r>
              <w:rPr>
                <w:color w:val="FFFFFF"/>
                <w:position w:val="-7"/>
                <w:sz w:val="24"/>
              </w:rPr>
              <w:t>R</w:t>
            </w:r>
            <w:r>
              <w:rPr>
                <w:color w:val="FFFFFF"/>
                <w:sz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D3BB8F4" w14:textId="77777777" w:rsidR="009D0E1C" w:rsidRDefault="009D0E1C" w:rsidP="00AD2D39">
            <w:pPr>
              <w:pStyle w:val="TableParagraph"/>
              <w:spacing w:before="5" w:line="263" w:lineRule="exact"/>
              <w:ind w:left="14"/>
              <w:rPr>
                <w:sz w:val="24"/>
              </w:rPr>
            </w:pPr>
            <w:r>
              <w:rPr>
                <w:color w:val="FFFFFF"/>
                <w:sz w:val="24"/>
              </w:rPr>
              <w:t>p</w:t>
            </w: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7331B85" w14:textId="77777777" w:rsidR="009D0E1C" w:rsidRDefault="009D0E1C" w:rsidP="00AD2D39">
            <w:pPr>
              <w:rPr>
                <w:sz w:val="2"/>
                <w:szCs w:val="2"/>
              </w:rPr>
            </w:pPr>
          </w:p>
        </w:tc>
      </w:tr>
      <w:tr w:rsidR="009D0E1C" w14:paraId="4A6F94E9" w14:textId="77777777" w:rsidTr="00AD2D39">
        <w:trPr>
          <w:trHeight w:val="268"/>
        </w:trPr>
        <w:tc>
          <w:tcPr>
            <w:tcW w:w="1402" w:type="dxa"/>
            <w:tcBorders>
              <w:top w:val="nil"/>
            </w:tcBorders>
          </w:tcPr>
          <w:p w14:paraId="66E6774D" w14:textId="77777777" w:rsidR="009D0E1C" w:rsidRDefault="009D0E1C" w:rsidP="00AD2D39">
            <w:pPr>
              <w:pStyle w:val="TableParagraph"/>
              <w:spacing w:line="248" w:lineRule="exact"/>
              <w:ind w:left="63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6" w:type="dxa"/>
          </w:tcPr>
          <w:p w14:paraId="327BB691" w14:textId="77777777" w:rsidR="009D0E1C" w:rsidRDefault="009D0E1C" w:rsidP="00AD2D39">
            <w:pPr>
              <w:pStyle w:val="TableParagraph"/>
              <w:spacing w:line="248" w:lineRule="exact"/>
              <w:ind w:left="190" w:right="187"/>
              <w:rPr>
                <w:sz w:val="24"/>
              </w:rPr>
            </w:pPr>
            <w:r>
              <w:rPr>
                <w:sz w:val="24"/>
              </w:rPr>
              <w:t>0.08189</w:t>
            </w:r>
          </w:p>
        </w:tc>
        <w:tc>
          <w:tcPr>
            <w:tcW w:w="1286" w:type="dxa"/>
          </w:tcPr>
          <w:p w14:paraId="4F179A3D" w14:textId="77777777" w:rsidR="009D0E1C" w:rsidRDefault="009D0E1C" w:rsidP="00AD2D39">
            <w:pPr>
              <w:pStyle w:val="TableParagraph"/>
              <w:spacing w:line="248" w:lineRule="exact"/>
              <w:ind w:left="186" w:right="181"/>
              <w:rPr>
                <w:sz w:val="24"/>
              </w:rPr>
            </w:pPr>
            <w:r>
              <w:rPr>
                <w:sz w:val="24"/>
              </w:rPr>
              <w:t>0.4554</w:t>
            </w:r>
          </w:p>
        </w:tc>
        <w:tc>
          <w:tcPr>
            <w:tcW w:w="1348" w:type="dxa"/>
          </w:tcPr>
          <w:p w14:paraId="5784ED87" w14:textId="77777777" w:rsidR="009D0E1C" w:rsidRDefault="009D0E1C" w:rsidP="00AD2D39">
            <w:pPr>
              <w:pStyle w:val="TableParagraph"/>
              <w:spacing w:line="248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0.002163</w:t>
            </w:r>
          </w:p>
        </w:tc>
        <w:tc>
          <w:tcPr>
            <w:tcW w:w="1276" w:type="dxa"/>
          </w:tcPr>
          <w:p w14:paraId="219925F1" w14:textId="77777777" w:rsidR="009D0E1C" w:rsidRDefault="009D0E1C" w:rsidP="00AD2D39">
            <w:pPr>
              <w:pStyle w:val="TableParagraph"/>
              <w:spacing w:line="248" w:lineRule="exact"/>
              <w:ind w:left="253" w:right="238"/>
              <w:rPr>
                <w:sz w:val="24"/>
              </w:rPr>
            </w:pPr>
            <w:r>
              <w:rPr>
                <w:sz w:val="24"/>
              </w:rPr>
              <w:t>0.9129</w:t>
            </w:r>
          </w:p>
        </w:tc>
        <w:tc>
          <w:tcPr>
            <w:tcW w:w="2020" w:type="dxa"/>
            <w:tcBorders>
              <w:top w:val="nil"/>
            </w:tcBorders>
          </w:tcPr>
          <w:p w14:paraId="0B51567C" w14:textId="77777777" w:rsidR="009D0E1C" w:rsidRDefault="009D0E1C" w:rsidP="00AD2D39">
            <w:pPr>
              <w:pStyle w:val="TableParagraph"/>
              <w:spacing w:line="248" w:lineRule="exact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0.874</w:t>
            </w:r>
          </w:p>
        </w:tc>
      </w:tr>
      <w:tr w:rsidR="009D0E1C" w14:paraId="645B41B5" w14:textId="77777777" w:rsidTr="00AD2D39">
        <w:trPr>
          <w:trHeight w:val="278"/>
        </w:trPr>
        <w:tc>
          <w:tcPr>
            <w:tcW w:w="1402" w:type="dxa"/>
          </w:tcPr>
          <w:p w14:paraId="35B07B86" w14:textId="77777777" w:rsidR="009D0E1C" w:rsidRDefault="009D0E1C" w:rsidP="00AD2D39">
            <w:pPr>
              <w:pStyle w:val="TableParagraph"/>
              <w:spacing w:before="5" w:line="253" w:lineRule="exact"/>
              <w:ind w:left="63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6" w:type="dxa"/>
          </w:tcPr>
          <w:p w14:paraId="4E7F8517" w14:textId="77777777" w:rsidR="009D0E1C" w:rsidRDefault="009D0E1C" w:rsidP="00AD2D39">
            <w:pPr>
              <w:pStyle w:val="TableParagraph"/>
              <w:spacing w:before="5" w:line="253" w:lineRule="exact"/>
              <w:ind w:left="190" w:right="187"/>
              <w:rPr>
                <w:sz w:val="24"/>
              </w:rPr>
            </w:pPr>
            <w:r>
              <w:rPr>
                <w:sz w:val="24"/>
              </w:rPr>
              <w:t>0.5396</w:t>
            </w:r>
          </w:p>
        </w:tc>
        <w:tc>
          <w:tcPr>
            <w:tcW w:w="1286" w:type="dxa"/>
          </w:tcPr>
          <w:p w14:paraId="0D21B327" w14:textId="77777777" w:rsidR="009D0E1C" w:rsidRDefault="009D0E1C" w:rsidP="00AD2D39">
            <w:pPr>
              <w:pStyle w:val="TableParagraph"/>
              <w:spacing w:before="5" w:line="253" w:lineRule="exact"/>
              <w:ind w:left="186" w:right="181"/>
              <w:rPr>
                <w:sz w:val="24"/>
              </w:rPr>
            </w:pPr>
            <w:r>
              <w:rPr>
                <w:sz w:val="24"/>
              </w:rPr>
              <w:t>0.00379</w:t>
            </w:r>
          </w:p>
        </w:tc>
        <w:tc>
          <w:tcPr>
            <w:tcW w:w="1348" w:type="dxa"/>
          </w:tcPr>
          <w:p w14:paraId="60E292F1" w14:textId="77777777" w:rsidR="009D0E1C" w:rsidRDefault="009D0E1C" w:rsidP="00AD2D39">
            <w:pPr>
              <w:pStyle w:val="TableParagraph"/>
              <w:spacing w:before="5" w:line="253" w:lineRule="exact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0.04203</w:t>
            </w:r>
          </w:p>
        </w:tc>
        <w:tc>
          <w:tcPr>
            <w:tcW w:w="1276" w:type="dxa"/>
          </w:tcPr>
          <w:p w14:paraId="6F2C1518" w14:textId="77777777" w:rsidR="009D0E1C" w:rsidRDefault="009D0E1C" w:rsidP="00AD2D39">
            <w:pPr>
              <w:pStyle w:val="TableParagraph"/>
              <w:spacing w:before="5" w:line="253" w:lineRule="exact"/>
              <w:ind w:left="253" w:right="238"/>
              <w:rPr>
                <w:sz w:val="24"/>
              </w:rPr>
            </w:pPr>
            <w:r>
              <w:rPr>
                <w:sz w:val="24"/>
              </w:rPr>
              <w:t>0.6262</w:t>
            </w:r>
          </w:p>
        </w:tc>
        <w:tc>
          <w:tcPr>
            <w:tcW w:w="2020" w:type="dxa"/>
          </w:tcPr>
          <w:p w14:paraId="093228FE" w14:textId="77777777" w:rsidR="009D0E1C" w:rsidRDefault="009D0E1C" w:rsidP="00AD2D39">
            <w:pPr>
              <w:pStyle w:val="TableParagraph"/>
              <w:spacing w:before="5" w:line="253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-0.427</w:t>
            </w:r>
          </w:p>
        </w:tc>
      </w:tr>
      <w:tr w:rsidR="009D0E1C" w14:paraId="17992076" w14:textId="77777777" w:rsidTr="00AD2D39">
        <w:trPr>
          <w:trHeight w:val="277"/>
        </w:trPr>
        <w:tc>
          <w:tcPr>
            <w:tcW w:w="1402" w:type="dxa"/>
          </w:tcPr>
          <w:p w14:paraId="1BF4A7C1" w14:textId="77777777" w:rsidR="009D0E1C" w:rsidRDefault="009D0E1C" w:rsidP="00AD2D39">
            <w:pPr>
              <w:pStyle w:val="TableParagraph"/>
              <w:spacing w:line="258" w:lineRule="exact"/>
              <w:ind w:left="63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6" w:type="dxa"/>
          </w:tcPr>
          <w:p w14:paraId="13D45947" w14:textId="77777777" w:rsidR="009D0E1C" w:rsidRDefault="009D0E1C" w:rsidP="00AD2D39">
            <w:pPr>
              <w:pStyle w:val="TableParagraph"/>
              <w:spacing w:line="258" w:lineRule="exact"/>
              <w:ind w:left="190" w:right="187"/>
              <w:rPr>
                <w:sz w:val="24"/>
              </w:rPr>
            </w:pPr>
            <w:r>
              <w:rPr>
                <w:sz w:val="24"/>
              </w:rPr>
              <w:t>0.3396</w:t>
            </w:r>
          </w:p>
        </w:tc>
        <w:tc>
          <w:tcPr>
            <w:tcW w:w="1286" w:type="dxa"/>
          </w:tcPr>
          <w:p w14:paraId="5471BB2E" w14:textId="77777777" w:rsidR="009D0E1C" w:rsidRDefault="009D0E1C" w:rsidP="00AD2D39">
            <w:pPr>
              <w:pStyle w:val="TableParagraph"/>
              <w:spacing w:line="258" w:lineRule="exact"/>
              <w:ind w:left="186" w:right="181"/>
              <w:rPr>
                <w:sz w:val="24"/>
              </w:rPr>
            </w:pPr>
            <w:r>
              <w:rPr>
                <w:sz w:val="24"/>
              </w:rPr>
              <w:t>0.1295</w:t>
            </w:r>
          </w:p>
        </w:tc>
        <w:tc>
          <w:tcPr>
            <w:tcW w:w="1348" w:type="dxa"/>
          </w:tcPr>
          <w:p w14:paraId="2A26AB01" w14:textId="77777777" w:rsidR="009D0E1C" w:rsidRDefault="009D0E1C" w:rsidP="00AD2D39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0.0002845</w:t>
            </w:r>
          </w:p>
        </w:tc>
        <w:tc>
          <w:tcPr>
            <w:tcW w:w="1276" w:type="dxa"/>
          </w:tcPr>
          <w:p w14:paraId="287B104B" w14:textId="77777777" w:rsidR="009D0E1C" w:rsidRDefault="009D0E1C" w:rsidP="00AD2D39">
            <w:pPr>
              <w:pStyle w:val="TableParagraph"/>
              <w:spacing w:line="258" w:lineRule="exact"/>
              <w:ind w:left="253" w:right="238"/>
              <w:rPr>
                <w:sz w:val="24"/>
              </w:rPr>
            </w:pPr>
            <w:r>
              <w:rPr>
                <w:sz w:val="24"/>
              </w:rPr>
              <w:t>0.9714</w:t>
            </w:r>
          </w:p>
        </w:tc>
        <w:tc>
          <w:tcPr>
            <w:tcW w:w="2020" w:type="dxa"/>
          </w:tcPr>
          <w:p w14:paraId="142CD94D" w14:textId="77777777" w:rsidR="009D0E1C" w:rsidRDefault="009D0E1C" w:rsidP="00AD2D39">
            <w:pPr>
              <w:pStyle w:val="TableParagraph"/>
              <w:spacing w:line="258" w:lineRule="exact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0.118</w:t>
            </w:r>
          </w:p>
        </w:tc>
      </w:tr>
      <w:tr w:rsidR="009D0E1C" w14:paraId="026FCEAB" w14:textId="77777777" w:rsidTr="00AD2D39">
        <w:trPr>
          <w:trHeight w:val="273"/>
        </w:trPr>
        <w:tc>
          <w:tcPr>
            <w:tcW w:w="1402" w:type="dxa"/>
          </w:tcPr>
          <w:p w14:paraId="687F1F43" w14:textId="77777777" w:rsidR="009D0E1C" w:rsidRDefault="009D0E1C" w:rsidP="00AD2D39">
            <w:pPr>
              <w:pStyle w:val="TableParagraph"/>
              <w:spacing w:line="253" w:lineRule="exact"/>
              <w:ind w:left="63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6" w:type="dxa"/>
          </w:tcPr>
          <w:p w14:paraId="6FDF49B8" w14:textId="77777777" w:rsidR="009D0E1C" w:rsidRDefault="009D0E1C" w:rsidP="00AD2D39">
            <w:pPr>
              <w:pStyle w:val="TableParagraph"/>
              <w:spacing w:line="253" w:lineRule="exact"/>
              <w:ind w:left="190" w:right="187"/>
              <w:rPr>
                <w:sz w:val="24"/>
              </w:rPr>
            </w:pPr>
            <w:r>
              <w:rPr>
                <w:sz w:val="24"/>
              </w:rPr>
              <w:t>0.1883</w:t>
            </w:r>
          </w:p>
        </w:tc>
        <w:tc>
          <w:tcPr>
            <w:tcW w:w="1286" w:type="dxa"/>
          </w:tcPr>
          <w:p w14:paraId="641C05C3" w14:textId="77777777" w:rsidR="009D0E1C" w:rsidRDefault="009D0E1C" w:rsidP="00AD2D39">
            <w:pPr>
              <w:pStyle w:val="TableParagraph"/>
              <w:spacing w:line="253" w:lineRule="exact"/>
              <w:ind w:left="186" w:right="181"/>
              <w:rPr>
                <w:sz w:val="24"/>
              </w:rPr>
            </w:pPr>
            <w:r>
              <w:rPr>
                <w:sz w:val="24"/>
              </w:rPr>
              <w:t>0.2827</w:t>
            </w:r>
          </w:p>
        </w:tc>
        <w:tc>
          <w:tcPr>
            <w:tcW w:w="1348" w:type="dxa"/>
          </w:tcPr>
          <w:p w14:paraId="2215F5AA" w14:textId="77777777" w:rsidR="009D0E1C" w:rsidRDefault="009D0E1C" w:rsidP="00AD2D39">
            <w:pPr>
              <w:pStyle w:val="TableParagraph"/>
              <w:spacing w:line="253" w:lineRule="exact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0.01997</w:t>
            </w:r>
          </w:p>
        </w:tc>
        <w:tc>
          <w:tcPr>
            <w:tcW w:w="1276" w:type="dxa"/>
          </w:tcPr>
          <w:p w14:paraId="3F7E3CD8" w14:textId="77777777" w:rsidR="009D0E1C" w:rsidRDefault="009D0E1C" w:rsidP="00AD2D39">
            <w:pPr>
              <w:pStyle w:val="TableParagraph"/>
              <w:spacing w:line="253" w:lineRule="exact"/>
              <w:ind w:left="253" w:right="238"/>
              <w:rPr>
                <w:sz w:val="24"/>
              </w:rPr>
            </w:pPr>
            <w:r>
              <w:rPr>
                <w:sz w:val="24"/>
              </w:rPr>
              <w:t>0.7385</w:t>
            </w:r>
          </w:p>
        </w:tc>
        <w:tc>
          <w:tcPr>
            <w:tcW w:w="2020" w:type="dxa"/>
          </w:tcPr>
          <w:p w14:paraId="68F10C3F" w14:textId="77777777" w:rsidR="009D0E1C" w:rsidRDefault="009D0E1C" w:rsidP="00AD2D39">
            <w:pPr>
              <w:pStyle w:val="TableParagraph"/>
              <w:spacing w:line="253" w:lineRule="exact"/>
              <w:ind w:right="658"/>
              <w:jc w:val="right"/>
              <w:rPr>
                <w:sz w:val="24"/>
              </w:rPr>
            </w:pPr>
            <w:r>
              <w:rPr>
                <w:sz w:val="24"/>
              </w:rPr>
              <w:t>-0.205</w:t>
            </w:r>
          </w:p>
        </w:tc>
      </w:tr>
      <w:tr w:rsidR="009D0E1C" w14:paraId="63174EB3" w14:textId="77777777" w:rsidTr="00AD2D39">
        <w:trPr>
          <w:trHeight w:val="277"/>
        </w:trPr>
        <w:tc>
          <w:tcPr>
            <w:tcW w:w="1402" w:type="dxa"/>
          </w:tcPr>
          <w:p w14:paraId="16581A50" w14:textId="77777777" w:rsidR="009D0E1C" w:rsidRDefault="009D0E1C" w:rsidP="00AD2D39">
            <w:pPr>
              <w:pStyle w:val="TableParagraph"/>
              <w:spacing w:line="258" w:lineRule="exact"/>
              <w:ind w:left="631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6" w:type="dxa"/>
          </w:tcPr>
          <w:p w14:paraId="4CF63EA3" w14:textId="77777777" w:rsidR="009D0E1C" w:rsidRDefault="009D0E1C" w:rsidP="00AD2D39">
            <w:pPr>
              <w:pStyle w:val="TableParagraph"/>
              <w:spacing w:line="258" w:lineRule="exact"/>
              <w:ind w:left="190" w:right="187"/>
              <w:rPr>
                <w:sz w:val="24"/>
              </w:rPr>
            </w:pPr>
            <w:r>
              <w:rPr>
                <w:sz w:val="24"/>
              </w:rPr>
              <w:t>0.5674</w:t>
            </w:r>
          </w:p>
        </w:tc>
        <w:tc>
          <w:tcPr>
            <w:tcW w:w="1286" w:type="dxa"/>
          </w:tcPr>
          <w:p w14:paraId="1DCDE050" w14:textId="77777777" w:rsidR="009D0E1C" w:rsidRDefault="009D0E1C" w:rsidP="00AD2D39">
            <w:pPr>
              <w:pStyle w:val="TableParagraph"/>
              <w:spacing w:line="258" w:lineRule="exact"/>
              <w:ind w:left="186" w:right="181"/>
              <w:rPr>
                <w:sz w:val="24"/>
              </w:rPr>
            </w:pPr>
            <w:r>
              <w:rPr>
                <w:sz w:val="24"/>
              </w:rPr>
              <w:t>0.0506</w:t>
            </w:r>
          </w:p>
        </w:tc>
        <w:tc>
          <w:tcPr>
            <w:tcW w:w="1348" w:type="dxa"/>
          </w:tcPr>
          <w:p w14:paraId="7E232284" w14:textId="77777777" w:rsidR="009D0E1C" w:rsidRDefault="009D0E1C" w:rsidP="00AD2D39">
            <w:pPr>
              <w:pStyle w:val="TableParagraph"/>
              <w:spacing w:line="258" w:lineRule="exact"/>
              <w:ind w:left="305"/>
              <w:jc w:val="left"/>
              <w:rPr>
                <w:sz w:val="24"/>
              </w:rPr>
            </w:pPr>
            <w:r>
              <w:rPr>
                <w:sz w:val="24"/>
              </w:rPr>
              <w:t>0.3890</w:t>
            </w:r>
          </w:p>
        </w:tc>
        <w:tc>
          <w:tcPr>
            <w:tcW w:w="1276" w:type="dxa"/>
          </w:tcPr>
          <w:p w14:paraId="24F030C5" w14:textId="77777777" w:rsidR="009D0E1C" w:rsidRDefault="009D0E1C" w:rsidP="00AD2D39">
            <w:pPr>
              <w:pStyle w:val="TableParagraph"/>
              <w:spacing w:line="258" w:lineRule="exact"/>
              <w:ind w:left="253" w:right="238"/>
              <w:rPr>
                <w:sz w:val="24"/>
              </w:rPr>
            </w:pPr>
            <w:r>
              <w:rPr>
                <w:sz w:val="24"/>
              </w:rPr>
              <w:t>0.1858</w:t>
            </w:r>
          </w:p>
        </w:tc>
        <w:tc>
          <w:tcPr>
            <w:tcW w:w="2020" w:type="dxa"/>
          </w:tcPr>
          <w:p w14:paraId="2D8BB123" w14:textId="77777777" w:rsidR="009D0E1C" w:rsidRDefault="009D0E1C" w:rsidP="00AD2D39">
            <w:pPr>
              <w:pStyle w:val="TableParagraph"/>
              <w:spacing w:line="258" w:lineRule="exact"/>
              <w:ind w:left="755" w:right="746"/>
              <w:rPr>
                <w:sz w:val="24"/>
              </w:rPr>
            </w:pPr>
            <w:r>
              <w:rPr>
                <w:sz w:val="24"/>
              </w:rPr>
              <w:t>0.41</w:t>
            </w:r>
          </w:p>
        </w:tc>
      </w:tr>
      <w:tr w:rsidR="009D0E1C" w14:paraId="2712224A" w14:textId="77777777" w:rsidTr="00AD2D39">
        <w:trPr>
          <w:trHeight w:val="273"/>
        </w:trPr>
        <w:tc>
          <w:tcPr>
            <w:tcW w:w="1402" w:type="dxa"/>
          </w:tcPr>
          <w:p w14:paraId="103311B5" w14:textId="77777777" w:rsidR="009D0E1C" w:rsidRDefault="009D0E1C" w:rsidP="00AD2D39">
            <w:pPr>
              <w:pStyle w:val="TableParagraph"/>
              <w:spacing w:line="253" w:lineRule="exact"/>
              <w:ind w:left="631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6" w:type="dxa"/>
          </w:tcPr>
          <w:p w14:paraId="123AF6B8" w14:textId="77777777" w:rsidR="009D0E1C" w:rsidRDefault="009D0E1C" w:rsidP="00AD2D39">
            <w:pPr>
              <w:pStyle w:val="TableParagraph"/>
              <w:spacing w:line="253" w:lineRule="exact"/>
              <w:ind w:left="190" w:right="187"/>
              <w:rPr>
                <w:sz w:val="24"/>
              </w:rPr>
            </w:pPr>
            <w:r>
              <w:rPr>
                <w:sz w:val="24"/>
              </w:rPr>
              <w:t>0.08649</w:t>
            </w:r>
          </w:p>
        </w:tc>
        <w:tc>
          <w:tcPr>
            <w:tcW w:w="1286" w:type="dxa"/>
          </w:tcPr>
          <w:p w14:paraId="7B179987" w14:textId="77777777" w:rsidR="009D0E1C" w:rsidRDefault="009D0E1C" w:rsidP="00AD2D39">
            <w:pPr>
              <w:pStyle w:val="TableParagraph"/>
              <w:spacing w:line="253" w:lineRule="exact"/>
              <w:ind w:left="186" w:right="181"/>
              <w:rPr>
                <w:sz w:val="24"/>
              </w:rPr>
            </w:pPr>
            <w:r>
              <w:rPr>
                <w:sz w:val="24"/>
              </w:rPr>
              <w:t>0.5220</w:t>
            </w:r>
          </w:p>
        </w:tc>
        <w:tc>
          <w:tcPr>
            <w:tcW w:w="1348" w:type="dxa"/>
          </w:tcPr>
          <w:p w14:paraId="5369C215" w14:textId="77777777" w:rsidR="009D0E1C" w:rsidRDefault="009D0E1C" w:rsidP="00AD2D39">
            <w:pPr>
              <w:pStyle w:val="TableParagraph"/>
              <w:spacing w:line="253" w:lineRule="exact"/>
              <w:ind w:left="305"/>
              <w:jc w:val="left"/>
              <w:rPr>
                <w:sz w:val="24"/>
              </w:rPr>
            </w:pPr>
            <w:r>
              <w:rPr>
                <w:sz w:val="24"/>
              </w:rPr>
              <w:t>0.5494</w:t>
            </w:r>
          </w:p>
        </w:tc>
        <w:tc>
          <w:tcPr>
            <w:tcW w:w="1276" w:type="dxa"/>
          </w:tcPr>
          <w:p w14:paraId="1B478B27" w14:textId="77777777" w:rsidR="009D0E1C" w:rsidRDefault="009D0E1C" w:rsidP="00AD2D39">
            <w:pPr>
              <w:pStyle w:val="TableParagraph"/>
              <w:spacing w:line="253" w:lineRule="exact"/>
              <w:ind w:left="253" w:right="238"/>
              <w:rPr>
                <w:sz w:val="24"/>
              </w:rPr>
            </w:pPr>
            <w:r>
              <w:rPr>
                <w:sz w:val="24"/>
              </w:rPr>
              <w:t>0.1517</w:t>
            </w:r>
          </w:p>
        </w:tc>
        <w:tc>
          <w:tcPr>
            <w:tcW w:w="2020" w:type="dxa"/>
          </w:tcPr>
          <w:p w14:paraId="22B223BF" w14:textId="77777777" w:rsidR="009D0E1C" w:rsidRDefault="009D0E1C" w:rsidP="00AD2D39">
            <w:pPr>
              <w:pStyle w:val="TableParagraph"/>
              <w:spacing w:line="253" w:lineRule="exact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-2.14</w:t>
            </w:r>
          </w:p>
        </w:tc>
      </w:tr>
      <w:tr w:rsidR="009D0E1C" w14:paraId="12D98C0B" w14:textId="77777777" w:rsidTr="00AD2D39">
        <w:trPr>
          <w:trHeight w:val="278"/>
        </w:trPr>
        <w:tc>
          <w:tcPr>
            <w:tcW w:w="1402" w:type="dxa"/>
          </w:tcPr>
          <w:p w14:paraId="7DBA4ACB" w14:textId="77777777" w:rsidR="009D0E1C" w:rsidRDefault="009D0E1C" w:rsidP="00AD2D39">
            <w:pPr>
              <w:pStyle w:val="TableParagraph"/>
              <w:spacing w:line="258" w:lineRule="exact"/>
              <w:ind w:left="631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96" w:type="dxa"/>
          </w:tcPr>
          <w:p w14:paraId="6ED44CBF" w14:textId="77777777" w:rsidR="009D0E1C" w:rsidRDefault="009D0E1C" w:rsidP="00AD2D39">
            <w:pPr>
              <w:pStyle w:val="TableParagraph"/>
              <w:spacing w:line="258" w:lineRule="exact"/>
              <w:ind w:left="190" w:right="187"/>
              <w:rPr>
                <w:sz w:val="24"/>
              </w:rPr>
            </w:pPr>
            <w:r>
              <w:rPr>
                <w:sz w:val="24"/>
              </w:rPr>
              <w:t>0.3569</w:t>
            </w:r>
          </w:p>
        </w:tc>
        <w:tc>
          <w:tcPr>
            <w:tcW w:w="1286" w:type="dxa"/>
          </w:tcPr>
          <w:p w14:paraId="61913717" w14:textId="77777777" w:rsidR="009D0E1C" w:rsidRDefault="009D0E1C" w:rsidP="00AD2D39">
            <w:pPr>
              <w:pStyle w:val="TableParagraph"/>
              <w:spacing w:line="258" w:lineRule="exact"/>
              <w:ind w:left="186" w:right="181"/>
              <w:rPr>
                <w:sz w:val="24"/>
              </w:rPr>
            </w:pPr>
            <w:r>
              <w:rPr>
                <w:sz w:val="24"/>
              </w:rPr>
              <w:t>0.4026</w:t>
            </w:r>
          </w:p>
        </w:tc>
        <w:tc>
          <w:tcPr>
            <w:tcW w:w="1348" w:type="dxa"/>
          </w:tcPr>
          <w:p w14:paraId="1AFB695D" w14:textId="77777777" w:rsidR="009D0E1C" w:rsidRDefault="009D0E1C" w:rsidP="00AD2D39">
            <w:pPr>
              <w:pStyle w:val="TableParagraph"/>
              <w:spacing w:line="258" w:lineRule="exact"/>
              <w:ind w:left="372"/>
              <w:jc w:val="left"/>
              <w:rPr>
                <w:sz w:val="24"/>
              </w:rPr>
            </w:pPr>
            <w:r>
              <w:rPr>
                <w:sz w:val="24"/>
              </w:rPr>
              <w:t>0.704</w:t>
            </w:r>
          </w:p>
        </w:tc>
        <w:tc>
          <w:tcPr>
            <w:tcW w:w="1276" w:type="dxa"/>
          </w:tcPr>
          <w:p w14:paraId="3A05DFDD" w14:textId="77777777" w:rsidR="009D0E1C" w:rsidRDefault="009D0E1C" w:rsidP="00AD2D39">
            <w:pPr>
              <w:pStyle w:val="TableParagraph"/>
              <w:spacing w:line="258" w:lineRule="exact"/>
              <w:ind w:left="253" w:right="238"/>
              <w:rPr>
                <w:sz w:val="24"/>
              </w:rPr>
            </w:pPr>
            <w:r>
              <w:rPr>
                <w:sz w:val="24"/>
              </w:rPr>
              <w:t>0.1393</w:t>
            </w:r>
          </w:p>
        </w:tc>
        <w:tc>
          <w:tcPr>
            <w:tcW w:w="2020" w:type="dxa"/>
          </w:tcPr>
          <w:p w14:paraId="0E69FB47" w14:textId="77777777" w:rsidR="009D0E1C" w:rsidRDefault="009D0E1C" w:rsidP="00AD2D39">
            <w:pPr>
              <w:pStyle w:val="TableParagraph"/>
              <w:spacing w:line="258" w:lineRule="exact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-1.28</w:t>
            </w:r>
          </w:p>
        </w:tc>
      </w:tr>
      <w:tr w:rsidR="009D0E1C" w14:paraId="4CBACF59" w14:textId="77777777" w:rsidTr="00AD2D39">
        <w:trPr>
          <w:trHeight w:val="273"/>
        </w:trPr>
        <w:tc>
          <w:tcPr>
            <w:tcW w:w="1402" w:type="dxa"/>
          </w:tcPr>
          <w:p w14:paraId="3EDE2CC8" w14:textId="77777777" w:rsidR="009D0E1C" w:rsidRDefault="009D0E1C" w:rsidP="00AD2D39">
            <w:pPr>
              <w:pStyle w:val="TableParagraph"/>
              <w:spacing w:line="253" w:lineRule="exact"/>
              <w:ind w:left="631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96" w:type="dxa"/>
          </w:tcPr>
          <w:p w14:paraId="6C68C3A1" w14:textId="77777777" w:rsidR="009D0E1C" w:rsidRDefault="009D0E1C" w:rsidP="00AD2D39">
            <w:pPr>
              <w:pStyle w:val="TableParagraph"/>
              <w:spacing w:line="253" w:lineRule="exact"/>
              <w:ind w:left="190" w:right="187"/>
              <w:rPr>
                <w:sz w:val="24"/>
              </w:rPr>
            </w:pPr>
            <w:r>
              <w:rPr>
                <w:sz w:val="24"/>
              </w:rPr>
              <w:t>0.02266</w:t>
            </w:r>
          </w:p>
        </w:tc>
        <w:tc>
          <w:tcPr>
            <w:tcW w:w="1286" w:type="dxa"/>
          </w:tcPr>
          <w:p w14:paraId="0A25E290" w14:textId="77777777" w:rsidR="009D0E1C" w:rsidRDefault="009D0E1C" w:rsidP="00AD2D39">
            <w:pPr>
              <w:pStyle w:val="TableParagraph"/>
              <w:spacing w:line="253" w:lineRule="exact"/>
              <w:ind w:left="186" w:right="181"/>
              <w:rPr>
                <w:sz w:val="24"/>
              </w:rPr>
            </w:pPr>
            <w:r>
              <w:rPr>
                <w:sz w:val="24"/>
              </w:rPr>
              <w:t>0.6780</w:t>
            </w:r>
          </w:p>
        </w:tc>
        <w:tc>
          <w:tcPr>
            <w:tcW w:w="1348" w:type="dxa"/>
          </w:tcPr>
          <w:p w14:paraId="6A717784" w14:textId="77777777" w:rsidR="009D0E1C" w:rsidRDefault="009D0E1C" w:rsidP="00AD2D39">
            <w:pPr>
              <w:pStyle w:val="TableParagraph"/>
              <w:spacing w:line="253" w:lineRule="exact"/>
              <w:ind w:left="305"/>
              <w:jc w:val="left"/>
              <w:rPr>
                <w:sz w:val="24"/>
              </w:rPr>
            </w:pPr>
            <w:r>
              <w:rPr>
                <w:sz w:val="24"/>
              </w:rPr>
              <w:t>0.2556</w:t>
            </w:r>
          </w:p>
        </w:tc>
        <w:tc>
          <w:tcPr>
            <w:tcW w:w="1276" w:type="dxa"/>
          </w:tcPr>
          <w:p w14:paraId="1E02EE8D" w14:textId="77777777" w:rsidR="009D0E1C" w:rsidRDefault="009D0E1C" w:rsidP="00AD2D39">
            <w:pPr>
              <w:pStyle w:val="TableParagraph"/>
              <w:spacing w:line="253" w:lineRule="exact"/>
              <w:ind w:left="253" w:right="238"/>
              <w:rPr>
                <w:sz w:val="24"/>
              </w:rPr>
            </w:pPr>
            <w:r>
              <w:rPr>
                <w:sz w:val="24"/>
              </w:rPr>
              <w:t>0.1361</w:t>
            </w:r>
          </w:p>
        </w:tc>
        <w:tc>
          <w:tcPr>
            <w:tcW w:w="2020" w:type="dxa"/>
          </w:tcPr>
          <w:p w14:paraId="71866AC4" w14:textId="77777777" w:rsidR="009D0E1C" w:rsidRDefault="009D0E1C" w:rsidP="00AD2D39">
            <w:pPr>
              <w:pStyle w:val="TableParagraph"/>
              <w:spacing w:line="253" w:lineRule="exact"/>
              <w:ind w:left="755" w:right="746"/>
              <w:rPr>
                <w:sz w:val="24"/>
              </w:rPr>
            </w:pPr>
            <w:r>
              <w:rPr>
                <w:sz w:val="24"/>
              </w:rPr>
              <w:t>3.07</w:t>
            </w:r>
          </w:p>
        </w:tc>
      </w:tr>
      <w:tr w:rsidR="009D0E1C" w14:paraId="7C87C8FA" w14:textId="77777777" w:rsidTr="00AD2D39">
        <w:trPr>
          <w:trHeight w:val="277"/>
        </w:trPr>
        <w:tc>
          <w:tcPr>
            <w:tcW w:w="1402" w:type="dxa"/>
          </w:tcPr>
          <w:p w14:paraId="35B163C5" w14:textId="77777777" w:rsidR="009D0E1C" w:rsidRDefault="009D0E1C" w:rsidP="00AD2D39">
            <w:pPr>
              <w:pStyle w:val="TableParagraph"/>
              <w:spacing w:before="5" w:line="253" w:lineRule="exact"/>
              <w:ind w:left="631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96" w:type="dxa"/>
          </w:tcPr>
          <w:p w14:paraId="714D5F9E" w14:textId="77777777" w:rsidR="009D0E1C" w:rsidRDefault="009D0E1C" w:rsidP="00AD2D39">
            <w:pPr>
              <w:pStyle w:val="TableParagraph"/>
              <w:spacing w:before="5" w:line="253" w:lineRule="exact"/>
              <w:ind w:left="190" w:right="187"/>
              <w:rPr>
                <w:sz w:val="24"/>
              </w:rPr>
            </w:pPr>
            <w:r>
              <w:rPr>
                <w:sz w:val="24"/>
              </w:rPr>
              <w:t>0.1691</w:t>
            </w:r>
          </w:p>
        </w:tc>
        <w:tc>
          <w:tcPr>
            <w:tcW w:w="1286" w:type="dxa"/>
          </w:tcPr>
          <w:p w14:paraId="405A358C" w14:textId="77777777" w:rsidR="009D0E1C" w:rsidRDefault="009D0E1C" w:rsidP="00AD2D39">
            <w:pPr>
              <w:pStyle w:val="TableParagraph"/>
              <w:spacing w:before="5" w:line="253" w:lineRule="exact"/>
              <w:ind w:left="186" w:right="181"/>
              <w:rPr>
                <w:sz w:val="24"/>
              </w:rPr>
            </w:pPr>
            <w:r>
              <w:rPr>
                <w:sz w:val="24"/>
              </w:rPr>
              <w:t>0.3115</w:t>
            </w:r>
          </w:p>
        </w:tc>
        <w:tc>
          <w:tcPr>
            <w:tcW w:w="1348" w:type="dxa"/>
          </w:tcPr>
          <w:p w14:paraId="5FC50D28" w14:textId="77777777" w:rsidR="009D0E1C" w:rsidRDefault="009D0E1C" w:rsidP="00AD2D39">
            <w:pPr>
              <w:pStyle w:val="TableParagraph"/>
              <w:spacing w:before="5" w:line="253" w:lineRule="exact"/>
              <w:ind w:left="305"/>
              <w:jc w:val="left"/>
              <w:rPr>
                <w:sz w:val="24"/>
              </w:rPr>
            </w:pPr>
            <w:r>
              <w:rPr>
                <w:sz w:val="24"/>
              </w:rPr>
              <w:t>0.2626</w:t>
            </w:r>
          </w:p>
        </w:tc>
        <w:tc>
          <w:tcPr>
            <w:tcW w:w="1276" w:type="dxa"/>
          </w:tcPr>
          <w:p w14:paraId="25969472" w14:textId="77777777" w:rsidR="009D0E1C" w:rsidRDefault="009D0E1C" w:rsidP="00AD2D39">
            <w:pPr>
              <w:pStyle w:val="TableParagraph"/>
              <w:spacing w:before="5" w:line="253" w:lineRule="exact"/>
              <w:ind w:left="253" w:right="238"/>
              <w:rPr>
                <w:sz w:val="24"/>
              </w:rPr>
            </w:pPr>
            <w:r>
              <w:rPr>
                <w:sz w:val="24"/>
              </w:rPr>
              <w:t>0.1299</w:t>
            </w:r>
          </w:p>
        </w:tc>
        <w:tc>
          <w:tcPr>
            <w:tcW w:w="2020" w:type="dxa"/>
          </w:tcPr>
          <w:p w14:paraId="1CC995E2" w14:textId="77777777" w:rsidR="009D0E1C" w:rsidRDefault="009D0E1C" w:rsidP="00AD2D39">
            <w:pPr>
              <w:pStyle w:val="TableParagraph"/>
              <w:spacing w:before="5" w:line="253" w:lineRule="exact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7.671</w:t>
            </w:r>
          </w:p>
        </w:tc>
      </w:tr>
      <w:tr w:rsidR="009D0E1C" w14:paraId="5C1EE164" w14:textId="77777777" w:rsidTr="00AD2D39">
        <w:trPr>
          <w:trHeight w:val="278"/>
        </w:trPr>
        <w:tc>
          <w:tcPr>
            <w:tcW w:w="1402" w:type="dxa"/>
          </w:tcPr>
          <w:p w14:paraId="003622C6" w14:textId="77777777" w:rsidR="009D0E1C" w:rsidRDefault="009D0E1C" w:rsidP="00AD2D39">
            <w:pPr>
              <w:pStyle w:val="TableParagraph"/>
              <w:spacing w:line="258" w:lineRule="exact"/>
              <w:ind w:left="564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6" w:type="dxa"/>
          </w:tcPr>
          <w:p w14:paraId="37E0B476" w14:textId="77777777" w:rsidR="009D0E1C" w:rsidRDefault="009D0E1C" w:rsidP="00AD2D39">
            <w:pPr>
              <w:pStyle w:val="TableParagraph"/>
              <w:spacing w:line="258" w:lineRule="exact"/>
              <w:ind w:left="190" w:right="187"/>
              <w:rPr>
                <w:sz w:val="24"/>
              </w:rPr>
            </w:pPr>
            <w:r>
              <w:rPr>
                <w:sz w:val="24"/>
              </w:rPr>
              <w:t>0.01851</w:t>
            </w:r>
          </w:p>
        </w:tc>
        <w:tc>
          <w:tcPr>
            <w:tcW w:w="1286" w:type="dxa"/>
          </w:tcPr>
          <w:p w14:paraId="4277E4FE" w14:textId="77777777" w:rsidR="009D0E1C" w:rsidRDefault="009D0E1C" w:rsidP="00AD2D39">
            <w:pPr>
              <w:pStyle w:val="TableParagraph"/>
              <w:spacing w:line="258" w:lineRule="exact"/>
              <w:ind w:left="186" w:right="181"/>
              <w:rPr>
                <w:sz w:val="24"/>
              </w:rPr>
            </w:pPr>
            <w:r>
              <w:rPr>
                <w:sz w:val="24"/>
              </w:rPr>
              <w:t>0.7972</w:t>
            </w:r>
          </w:p>
        </w:tc>
        <w:tc>
          <w:tcPr>
            <w:tcW w:w="1348" w:type="dxa"/>
          </w:tcPr>
          <w:p w14:paraId="0C98A923" w14:textId="77777777" w:rsidR="009D0E1C" w:rsidRDefault="009D0E1C" w:rsidP="00AD2D39">
            <w:pPr>
              <w:pStyle w:val="TableParagraph"/>
              <w:spacing w:line="258" w:lineRule="exact"/>
              <w:ind w:left="305"/>
              <w:jc w:val="left"/>
              <w:rPr>
                <w:sz w:val="24"/>
              </w:rPr>
            </w:pPr>
            <w:r>
              <w:rPr>
                <w:sz w:val="24"/>
              </w:rPr>
              <w:t>0.2644</w:t>
            </w:r>
          </w:p>
        </w:tc>
        <w:tc>
          <w:tcPr>
            <w:tcW w:w="1276" w:type="dxa"/>
          </w:tcPr>
          <w:p w14:paraId="579D546B" w14:textId="77777777" w:rsidR="009D0E1C" w:rsidRDefault="009D0E1C" w:rsidP="00AD2D39">
            <w:pPr>
              <w:pStyle w:val="TableParagraph"/>
              <w:spacing w:line="258" w:lineRule="exact"/>
              <w:ind w:left="253" w:right="238"/>
              <w:rPr>
                <w:sz w:val="24"/>
              </w:rPr>
            </w:pPr>
            <w:r>
              <w:rPr>
                <w:sz w:val="24"/>
              </w:rPr>
              <w:t>0.2967</w:t>
            </w:r>
          </w:p>
        </w:tc>
        <w:tc>
          <w:tcPr>
            <w:tcW w:w="2020" w:type="dxa"/>
          </w:tcPr>
          <w:p w14:paraId="49BC6942" w14:textId="77777777" w:rsidR="009D0E1C" w:rsidRDefault="009D0E1C" w:rsidP="00AD2D39">
            <w:pPr>
              <w:pStyle w:val="TableParagraph"/>
              <w:spacing w:line="258" w:lineRule="exact"/>
              <w:ind w:left="755" w:right="746"/>
              <w:rPr>
                <w:sz w:val="24"/>
              </w:rPr>
            </w:pPr>
            <w:r>
              <w:rPr>
                <w:sz w:val="24"/>
              </w:rPr>
              <w:t>3.47</w:t>
            </w:r>
          </w:p>
        </w:tc>
      </w:tr>
      <w:tr w:rsidR="009D0E1C" w14:paraId="3FCD7203" w14:textId="77777777" w:rsidTr="00AD2D39">
        <w:trPr>
          <w:trHeight w:val="273"/>
        </w:trPr>
        <w:tc>
          <w:tcPr>
            <w:tcW w:w="1402" w:type="dxa"/>
          </w:tcPr>
          <w:p w14:paraId="27B9A00E" w14:textId="77777777" w:rsidR="009D0E1C" w:rsidRDefault="009D0E1C" w:rsidP="00AD2D39">
            <w:pPr>
              <w:pStyle w:val="TableParagraph"/>
              <w:spacing w:line="253" w:lineRule="exact"/>
              <w:ind w:left="564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96" w:type="dxa"/>
          </w:tcPr>
          <w:p w14:paraId="173E140D" w14:textId="77777777" w:rsidR="009D0E1C" w:rsidRDefault="009D0E1C" w:rsidP="00AD2D39">
            <w:pPr>
              <w:pStyle w:val="TableParagraph"/>
              <w:spacing w:line="253" w:lineRule="exact"/>
              <w:ind w:left="190" w:right="187"/>
              <w:rPr>
                <w:sz w:val="24"/>
              </w:rPr>
            </w:pPr>
            <w:r>
              <w:rPr>
                <w:sz w:val="24"/>
              </w:rPr>
              <w:t>0.6768</w:t>
            </w:r>
          </w:p>
        </w:tc>
        <w:tc>
          <w:tcPr>
            <w:tcW w:w="1286" w:type="dxa"/>
          </w:tcPr>
          <w:p w14:paraId="4393FDD4" w14:textId="77777777" w:rsidR="009D0E1C" w:rsidRDefault="009D0E1C" w:rsidP="00AD2D39">
            <w:pPr>
              <w:pStyle w:val="TableParagraph"/>
              <w:spacing w:line="253" w:lineRule="exact"/>
              <w:ind w:left="186" w:right="181"/>
              <w:rPr>
                <w:sz w:val="24"/>
              </w:rPr>
            </w:pPr>
            <w:r>
              <w:rPr>
                <w:sz w:val="24"/>
              </w:rPr>
              <w:t>0.0122</w:t>
            </w:r>
          </w:p>
        </w:tc>
        <w:tc>
          <w:tcPr>
            <w:tcW w:w="1348" w:type="dxa"/>
          </w:tcPr>
          <w:p w14:paraId="1F7D9651" w14:textId="77777777" w:rsidR="009D0E1C" w:rsidRDefault="009D0E1C" w:rsidP="00AD2D39">
            <w:pPr>
              <w:pStyle w:val="TableParagraph"/>
              <w:spacing w:line="253" w:lineRule="exact"/>
              <w:ind w:left="305"/>
              <w:jc w:val="left"/>
              <w:rPr>
                <w:sz w:val="24"/>
              </w:rPr>
            </w:pPr>
            <w:r>
              <w:rPr>
                <w:sz w:val="24"/>
              </w:rPr>
              <w:t>0.7275</w:t>
            </w:r>
          </w:p>
        </w:tc>
        <w:tc>
          <w:tcPr>
            <w:tcW w:w="1276" w:type="dxa"/>
          </w:tcPr>
          <w:p w14:paraId="2FFC7546" w14:textId="77777777" w:rsidR="009D0E1C" w:rsidRDefault="009D0E1C" w:rsidP="00AD2D39">
            <w:pPr>
              <w:pStyle w:val="TableParagraph"/>
              <w:spacing w:line="253" w:lineRule="exact"/>
              <w:ind w:left="253" w:right="238"/>
              <w:rPr>
                <w:sz w:val="24"/>
              </w:rPr>
            </w:pPr>
            <w:r>
              <w:rPr>
                <w:sz w:val="24"/>
              </w:rPr>
              <w:t>0.0071</w:t>
            </w:r>
          </w:p>
        </w:tc>
        <w:tc>
          <w:tcPr>
            <w:tcW w:w="2020" w:type="dxa"/>
          </w:tcPr>
          <w:p w14:paraId="032BBBBA" w14:textId="77777777" w:rsidR="009D0E1C" w:rsidRDefault="009D0E1C" w:rsidP="00AD2D39">
            <w:pPr>
              <w:pStyle w:val="TableParagraph"/>
              <w:spacing w:line="253" w:lineRule="exact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2.537</w:t>
            </w:r>
          </w:p>
        </w:tc>
      </w:tr>
      <w:tr w:rsidR="009D0E1C" w14:paraId="06755221" w14:textId="77777777" w:rsidTr="00AD2D39">
        <w:trPr>
          <w:trHeight w:val="277"/>
        </w:trPr>
        <w:tc>
          <w:tcPr>
            <w:tcW w:w="1402" w:type="dxa"/>
          </w:tcPr>
          <w:p w14:paraId="479BB3B6" w14:textId="77777777" w:rsidR="009D0E1C" w:rsidRDefault="009D0E1C" w:rsidP="00AD2D39">
            <w:pPr>
              <w:pStyle w:val="TableParagraph"/>
              <w:spacing w:line="258" w:lineRule="exact"/>
              <w:ind w:left="564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96" w:type="dxa"/>
          </w:tcPr>
          <w:p w14:paraId="3B4A16B3" w14:textId="77777777" w:rsidR="009D0E1C" w:rsidRDefault="009D0E1C" w:rsidP="00AD2D39">
            <w:pPr>
              <w:pStyle w:val="TableParagraph"/>
              <w:spacing w:line="258" w:lineRule="exact"/>
              <w:ind w:left="190" w:right="187"/>
              <w:rPr>
                <w:sz w:val="24"/>
              </w:rPr>
            </w:pPr>
            <w:r>
              <w:rPr>
                <w:sz w:val="24"/>
              </w:rPr>
              <w:t>0.7062</w:t>
            </w:r>
          </w:p>
        </w:tc>
        <w:tc>
          <w:tcPr>
            <w:tcW w:w="1286" w:type="dxa"/>
          </w:tcPr>
          <w:p w14:paraId="245592BE" w14:textId="77777777" w:rsidR="009D0E1C" w:rsidRDefault="009D0E1C" w:rsidP="00AD2D39">
            <w:pPr>
              <w:pStyle w:val="TableParagraph"/>
              <w:spacing w:line="258" w:lineRule="exact"/>
              <w:ind w:left="186" w:right="181"/>
              <w:rPr>
                <w:sz w:val="24"/>
              </w:rPr>
            </w:pPr>
            <w:r>
              <w:rPr>
                <w:sz w:val="24"/>
              </w:rPr>
              <w:t>0.0090</w:t>
            </w:r>
          </w:p>
        </w:tc>
        <w:tc>
          <w:tcPr>
            <w:tcW w:w="1348" w:type="dxa"/>
          </w:tcPr>
          <w:p w14:paraId="01EB41F8" w14:textId="77777777" w:rsidR="009D0E1C" w:rsidRDefault="009D0E1C" w:rsidP="00AD2D39">
            <w:pPr>
              <w:pStyle w:val="TableParagraph"/>
              <w:spacing w:line="258" w:lineRule="exact"/>
              <w:ind w:left="305"/>
              <w:jc w:val="left"/>
              <w:rPr>
                <w:sz w:val="24"/>
              </w:rPr>
            </w:pPr>
            <w:r>
              <w:rPr>
                <w:sz w:val="24"/>
              </w:rPr>
              <w:t>0.7879</w:t>
            </w:r>
          </w:p>
        </w:tc>
        <w:tc>
          <w:tcPr>
            <w:tcW w:w="1276" w:type="dxa"/>
          </w:tcPr>
          <w:p w14:paraId="394E6A63" w14:textId="77777777" w:rsidR="009D0E1C" w:rsidRDefault="009D0E1C" w:rsidP="00AD2D39">
            <w:pPr>
              <w:pStyle w:val="TableParagraph"/>
              <w:spacing w:line="258" w:lineRule="exact"/>
              <w:ind w:left="253" w:right="238"/>
              <w:rPr>
                <w:sz w:val="24"/>
              </w:rPr>
            </w:pPr>
            <w:r>
              <w:rPr>
                <w:sz w:val="24"/>
              </w:rPr>
              <w:t>0.0033</w:t>
            </w:r>
          </w:p>
        </w:tc>
        <w:tc>
          <w:tcPr>
            <w:tcW w:w="2020" w:type="dxa"/>
          </w:tcPr>
          <w:p w14:paraId="105420A7" w14:textId="77777777" w:rsidR="009D0E1C" w:rsidRDefault="009D0E1C" w:rsidP="00AD2D39">
            <w:pPr>
              <w:pStyle w:val="TableParagraph"/>
              <w:spacing w:line="258" w:lineRule="exact"/>
              <w:ind w:right="631"/>
              <w:jc w:val="right"/>
              <w:rPr>
                <w:sz w:val="24"/>
              </w:rPr>
            </w:pPr>
            <w:r>
              <w:rPr>
                <w:sz w:val="24"/>
              </w:rPr>
              <w:t>2.3140</w:t>
            </w:r>
          </w:p>
        </w:tc>
      </w:tr>
      <w:tr w:rsidR="009D0E1C" w14:paraId="3BA106F2" w14:textId="77777777" w:rsidTr="00AD2D39">
        <w:trPr>
          <w:trHeight w:val="273"/>
        </w:trPr>
        <w:tc>
          <w:tcPr>
            <w:tcW w:w="1402" w:type="dxa"/>
          </w:tcPr>
          <w:p w14:paraId="5DDC7CF3" w14:textId="77777777" w:rsidR="009D0E1C" w:rsidRDefault="009D0E1C" w:rsidP="00AD2D39">
            <w:pPr>
              <w:pStyle w:val="TableParagraph"/>
              <w:spacing w:line="253" w:lineRule="exact"/>
              <w:ind w:left="564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96" w:type="dxa"/>
          </w:tcPr>
          <w:p w14:paraId="6EB2629F" w14:textId="77777777" w:rsidR="009D0E1C" w:rsidRDefault="009D0E1C" w:rsidP="00AD2D39">
            <w:pPr>
              <w:pStyle w:val="TableParagraph"/>
              <w:spacing w:line="253" w:lineRule="exact"/>
              <w:ind w:left="190" w:right="187"/>
              <w:rPr>
                <w:sz w:val="24"/>
              </w:rPr>
            </w:pPr>
            <w:r>
              <w:rPr>
                <w:sz w:val="24"/>
              </w:rPr>
              <w:t>0.6922</w:t>
            </w:r>
          </w:p>
        </w:tc>
        <w:tc>
          <w:tcPr>
            <w:tcW w:w="1286" w:type="dxa"/>
          </w:tcPr>
          <w:p w14:paraId="4C7E60A0" w14:textId="77777777" w:rsidR="009D0E1C" w:rsidRDefault="009D0E1C" w:rsidP="00AD2D39">
            <w:pPr>
              <w:pStyle w:val="TableParagraph"/>
              <w:spacing w:line="253" w:lineRule="exact"/>
              <w:ind w:left="186" w:right="181"/>
              <w:rPr>
                <w:sz w:val="24"/>
              </w:rPr>
            </w:pPr>
            <w:r>
              <w:rPr>
                <w:sz w:val="24"/>
              </w:rPr>
              <w:t>0.0104</w:t>
            </w:r>
          </w:p>
        </w:tc>
        <w:tc>
          <w:tcPr>
            <w:tcW w:w="1348" w:type="dxa"/>
          </w:tcPr>
          <w:p w14:paraId="274DC580" w14:textId="77777777" w:rsidR="009D0E1C" w:rsidRDefault="009D0E1C" w:rsidP="00AD2D39">
            <w:pPr>
              <w:pStyle w:val="TableParagraph"/>
              <w:spacing w:line="253" w:lineRule="exact"/>
              <w:ind w:left="305"/>
              <w:jc w:val="left"/>
              <w:rPr>
                <w:sz w:val="24"/>
              </w:rPr>
            </w:pPr>
            <w:r>
              <w:rPr>
                <w:sz w:val="24"/>
              </w:rPr>
              <w:t>0.8612</w:t>
            </w:r>
          </w:p>
        </w:tc>
        <w:tc>
          <w:tcPr>
            <w:tcW w:w="1276" w:type="dxa"/>
          </w:tcPr>
          <w:p w14:paraId="6D9E7E23" w14:textId="77777777" w:rsidR="009D0E1C" w:rsidRDefault="009D0E1C" w:rsidP="00AD2D39">
            <w:pPr>
              <w:pStyle w:val="TableParagraph"/>
              <w:spacing w:line="253" w:lineRule="exact"/>
              <w:ind w:left="253" w:right="238"/>
              <w:rPr>
                <w:sz w:val="24"/>
              </w:rPr>
            </w:pPr>
            <w:r>
              <w:rPr>
                <w:sz w:val="24"/>
              </w:rPr>
              <w:t>0.0009</w:t>
            </w:r>
          </w:p>
        </w:tc>
        <w:tc>
          <w:tcPr>
            <w:tcW w:w="2020" w:type="dxa"/>
          </w:tcPr>
          <w:p w14:paraId="7459FF38" w14:textId="77777777" w:rsidR="009D0E1C" w:rsidRDefault="009D0E1C" w:rsidP="00AD2D39">
            <w:pPr>
              <w:pStyle w:val="TableParagraph"/>
              <w:spacing w:line="253" w:lineRule="exact"/>
              <w:ind w:left="755" w:right="746"/>
              <w:rPr>
                <w:sz w:val="24"/>
              </w:rPr>
            </w:pPr>
            <w:r>
              <w:rPr>
                <w:sz w:val="24"/>
              </w:rPr>
              <w:t>1.21</w:t>
            </w:r>
          </w:p>
        </w:tc>
      </w:tr>
    </w:tbl>
    <w:p w14:paraId="2B9458A4" w14:textId="77777777" w:rsidR="009D0E1C" w:rsidRDefault="009D0E1C" w:rsidP="009D0E1C">
      <w:pPr>
        <w:pStyle w:val="BodyText"/>
        <w:rPr>
          <w:b/>
          <w:sz w:val="26"/>
        </w:rPr>
      </w:pPr>
    </w:p>
    <w:p w14:paraId="7519668A" w14:textId="77777777" w:rsidR="009D0E1C" w:rsidRDefault="009D0E1C" w:rsidP="009D0E1C">
      <w:pPr>
        <w:pStyle w:val="BodyText"/>
        <w:rPr>
          <w:b/>
          <w:sz w:val="22"/>
        </w:rPr>
      </w:pPr>
    </w:p>
    <w:p w14:paraId="0280B310" w14:textId="6BD35EAD" w:rsidR="005F1BE8" w:rsidRDefault="009D0E1C" w:rsidP="009D0E1C">
      <w:pPr>
        <w:rPr>
          <w:color w:val="4472C4"/>
        </w:rPr>
      </w:pPr>
      <w:r>
        <w:rPr>
          <w:color w:val="4472C4"/>
        </w:rPr>
        <w:t>All patients (n=13) from the longitudinal cohort are listed with corresponding R</w:t>
      </w:r>
      <w:r>
        <w:rPr>
          <w:color w:val="4472C4"/>
          <w:vertAlign w:val="superscript"/>
        </w:rPr>
        <w:t>2</w:t>
      </w:r>
      <w:r>
        <w:rPr>
          <w:color w:val="4472C4"/>
        </w:rPr>
        <w:t>,</w:t>
      </w:r>
      <w:r>
        <w:rPr>
          <w:color w:val="4472C4"/>
          <w:spacing w:val="-17"/>
        </w:rPr>
        <w:t xml:space="preserve"> </w:t>
      </w:r>
      <w:r>
        <w:rPr>
          <w:color w:val="4472C4"/>
        </w:rPr>
        <w:t>P value of linear regression analyzed from the serial measurement of AHR</w:t>
      </w:r>
      <w:r>
        <w:rPr>
          <w:color w:val="4472C4"/>
          <w:spacing w:val="-35"/>
        </w:rPr>
        <w:t xml:space="preserve"> </w:t>
      </w:r>
      <w:r>
        <w:rPr>
          <w:color w:val="4472C4"/>
          <w:spacing w:val="-3"/>
        </w:rPr>
        <w:t xml:space="preserve">agonistic </w:t>
      </w:r>
      <w:r>
        <w:rPr>
          <w:color w:val="4472C4"/>
        </w:rPr>
        <w:t>activity and the white matter volume in serial cerebral MRIs. From the 13</w:t>
      </w:r>
      <w:r>
        <w:rPr>
          <w:color w:val="4472C4"/>
          <w:spacing w:val="-41"/>
        </w:rPr>
        <w:t xml:space="preserve"> </w:t>
      </w:r>
      <w:r>
        <w:rPr>
          <w:color w:val="4472C4"/>
        </w:rPr>
        <w:t xml:space="preserve">patients, the absolute number of the lesion volume change (in ml) is displayed. </w:t>
      </w:r>
      <w:r>
        <w:rPr>
          <w:i/>
          <w:color w:val="4472C4"/>
        </w:rPr>
        <w:t xml:space="preserve">P </w:t>
      </w:r>
      <w:r>
        <w:rPr>
          <w:color w:val="4472C4"/>
        </w:rPr>
        <w:t>&lt;0.05 is considered significant</w:t>
      </w:r>
    </w:p>
    <w:p w14:paraId="26E3FEBF" w14:textId="13B0AE72" w:rsidR="009D0E1C" w:rsidRDefault="009D0E1C" w:rsidP="009D0E1C"/>
    <w:p w14:paraId="7C2102B5" w14:textId="1971DBE8" w:rsidR="009D0E1C" w:rsidRDefault="009D0E1C" w:rsidP="009D0E1C"/>
    <w:p w14:paraId="78173043" w14:textId="77777777" w:rsidR="009D0E1C" w:rsidRDefault="009D0E1C" w:rsidP="009D0E1C">
      <w:pPr>
        <w:pStyle w:val="Heading1"/>
        <w:spacing w:before="0" w:line="480" w:lineRule="auto"/>
        <w:ind w:right="114"/>
        <w:jc w:val="both"/>
      </w:pPr>
      <w:r>
        <w:t>Supplementary</w:t>
      </w:r>
      <w:r>
        <w:rPr>
          <w:spacing w:val="-17"/>
        </w:rPr>
        <w:t xml:space="preserve"> </w:t>
      </w:r>
      <w:r>
        <w:t>Figure</w:t>
      </w:r>
      <w:r>
        <w:rPr>
          <w:spacing w:val="-18"/>
        </w:rPr>
        <w:t xml:space="preserve"> </w:t>
      </w:r>
      <w:r>
        <w:rPr>
          <w:color w:val="4472C4"/>
        </w:rPr>
        <w:t>1</w:t>
      </w:r>
      <w:r>
        <w:t>:</w:t>
      </w:r>
      <w:r>
        <w:rPr>
          <w:spacing w:val="-16"/>
        </w:rPr>
        <w:t xml:space="preserve"> </w:t>
      </w:r>
      <w:r>
        <w:t>Patient</w:t>
      </w:r>
      <w:r>
        <w:rPr>
          <w:spacing w:val="-17"/>
        </w:rPr>
        <w:t xml:space="preserve"> </w:t>
      </w:r>
      <w:r>
        <w:t>age,</w:t>
      </w:r>
      <w:r>
        <w:rPr>
          <w:spacing w:val="-16"/>
        </w:rPr>
        <w:t xml:space="preserve"> </w:t>
      </w:r>
      <w:r>
        <w:t>gender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DMTs</w:t>
      </w:r>
      <w:r>
        <w:rPr>
          <w:spacing w:val="-17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influence</w:t>
      </w:r>
      <w:r>
        <w:rPr>
          <w:spacing w:val="-16"/>
        </w:rPr>
        <w:t xml:space="preserve"> </w:t>
      </w:r>
      <w:r>
        <w:t>AHR agonistic</w:t>
      </w:r>
      <w:r>
        <w:rPr>
          <w:spacing w:val="-1"/>
        </w:rPr>
        <w:t xml:space="preserve"> </w:t>
      </w:r>
      <w:r>
        <w:t>activity.</w:t>
      </w:r>
    </w:p>
    <w:p w14:paraId="2CA3748D" w14:textId="77777777" w:rsidR="009D0E1C" w:rsidRDefault="009D0E1C" w:rsidP="009D0E1C">
      <w:pPr>
        <w:pStyle w:val="BodyText"/>
        <w:spacing w:line="480" w:lineRule="auto"/>
        <w:ind w:left="163" w:right="114"/>
        <w:jc w:val="both"/>
      </w:pPr>
      <w:r>
        <w:rPr>
          <w:b/>
        </w:rPr>
        <w:t>(a)</w:t>
      </w:r>
      <w:r>
        <w:rPr>
          <w:b/>
          <w:spacing w:val="-9"/>
        </w:rPr>
        <w:t xml:space="preserve"> </w:t>
      </w:r>
      <w:r>
        <w:t>Solid</w:t>
      </w:r>
      <w:r>
        <w:rPr>
          <w:spacing w:val="-8"/>
        </w:rPr>
        <w:t xml:space="preserve"> </w:t>
      </w:r>
      <w:r>
        <w:t>line</w:t>
      </w:r>
      <w:r>
        <w:rPr>
          <w:spacing w:val="-8"/>
        </w:rPr>
        <w:t xml:space="preserve"> </w:t>
      </w:r>
      <w:r>
        <w:t>shows</w:t>
      </w:r>
      <w:r>
        <w:rPr>
          <w:spacing w:val="-8"/>
        </w:rPr>
        <w:t xml:space="preserve"> </w:t>
      </w:r>
      <w:r>
        <w:t>linear</w:t>
      </w:r>
      <w:r>
        <w:rPr>
          <w:spacing w:val="-8"/>
        </w:rPr>
        <w:t xml:space="preserve"> </w:t>
      </w:r>
      <w:r>
        <w:t>regression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correlation</w:t>
      </w:r>
      <w:r>
        <w:rPr>
          <w:spacing w:val="-8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AHR</w:t>
      </w:r>
      <w:r>
        <w:rPr>
          <w:spacing w:val="-8"/>
        </w:rPr>
        <w:t xml:space="preserve"> </w:t>
      </w:r>
      <w:r>
        <w:t>agonistic</w:t>
      </w:r>
      <w:r>
        <w:rPr>
          <w:spacing w:val="-8"/>
        </w:rPr>
        <w:t xml:space="preserve"> </w:t>
      </w:r>
      <w:r>
        <w:rPr>
          <w:spacing w:val="-3"/>
        </w:rPr>
        <w:t xml:space="preserve">activity </w:t>
      </w:r>
      <w:r>
        <w:t>and age in control samples (n=36). Values are means of technical duplicate measurements.</w:t>
      </w:r>
      <w:r>
        <w:rPr>
          <w:spacing w:val="-6"/>
        </w:rPr>
        <w:t xml:space="preserve"> </w:t>
      </w:r>
      <w:r>
        <w:rPr>
          <w:b/>
        </w:rPr>
        <w:t>(b)</w:t>
      </w:r>
      <w:r>
        <w:rPr>
          <w:b/>
          <w:spacing w:val="-5"/>
        </w:rPr>
        <w:t xml:space="preserve"> </w:t>
      </w:r>
      <w:r>
        <w:t>Comparison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AHR</w:t>
      </w:r>
      <w:r>
        <w:rPr>
          <w:spacing w:val="-5"/>
        </w:rPr>
        <w:t xml:space="preserve"> </w:t>
      </w:r>
      <w:r>
        <w:t>agonist</w:t>
      </w:r>
      <w:r>
        <w:rPr>
          <w:spacing w:val="-6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female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male RRMS</w:t>
      </w:r>
      <w:r>
        <w:rPr>
          <w:spacing w:val="-6"/>
        </w:rPr>
        <w:t xml:space="preserve"> </w:t>
      </w:r>
      <w:r>
        <w:t>patients</w:t>
      </w:r>
      <w:r>
        <w:rPr>
          <w:spacing w:val="-5"/>
        </w:rPr>
        <w:t xml:space="preserve"> </w:t>
      </w:r>
      <w:r>
        <w:t>(n=84).</w:t>
      </w:r>
      <w:r>
        <w:rPr>
          <w:spacing w:val="-5"/>
        </w:rPr>
        <w:t xml:space="preserve"> </w:t>
      </w:r>
      <w:proofErr w:type="spellStart"/>
      <w:r>
        <w:t>n.s</w:t>
      </w:r>
      <w:proofErr w:type="spellEnd"/>
      <w:r>
        <w:t>.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significant.</w:t>
      </w:r>
      <w:r>
        <w:rPr>
          <w:spacing w:val="-6"/>
        </w:rPr>
        <w:t xml:space="preserve"> </w:t>
      </w:r>
      <w:r>
        <w:rPr>
          <w:b/>
        </w:rPr>
        <w:t>(c)</w:t>
      </w:r>
      <w:r>
        <w:rPr>
          <w:b/>
          <w:spacing w:val="-5"/>
        </w:rPr>
        <w:t xml:space="preserve"> </w:t>
      </w:r>
      <w:r>
        <w:t>Comparison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AHR</w:t>
      </w:r>
      <w:r>
        <w:rPr>
          <w:spacing w:val="-5"/>
        </w:rPr>
        <w:t xml:space="preserve"> </w:t>
      </w:r>
      <w:r>
        <w:t>agonist</w:t>
      </w:r>
      <w:r>
        <w:rPr>
          <w:spacing w:val="-5"/>
        </w:rPr>
        <w:t xml:space="preserve"> </w:t>
      </w:r>
      <w:r>
        <w:rPr>
          <w:spacing w:val="-3"/>
        </w:rPr>
        <w:t xml:space="preserve">activity </w:t>
      </w:r>
      <w:r>
        <w:t xml:space="preserve">between treated and non-treated RRMS patients. (n=84). Values are means of technical duplicate measurements. Lines represent mean and error bars </w:t>
      </w:r>
      <w:r>
        <w:rPr>
          <w:spacing w:val="-3"/>
        </w:rPr>
        <w:t xml:space="preserve">standard </w:t>
      </w:r>
      <w:r>
        <w:t>error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mean</w:t>
      </w:r>
      <w:r>
        <w:rPr>
          <w:spacing w:val="19"/>
        </w:rPr>
        <w:t xml:space="preserve"> </w:t>
      </w:r>
      <w:r>
        <w:t>(SEM).</w:t>
      </w:r>
      <w:r>
        <w:rPr>
          <w:spacing w:val="20"/>
        </w:rPr>
        <w:t xml:space="preserve"> </w:t>
      </w:r>
      <w:r>
        <w:t>Significance</w:t>
      </w:r>
      <w:r>
        <w:rPr>
          <w:spacing w:val="19"/>
        </w:rPr>
        <w:t xml:space="preserve"> </w:t>
      </w:r>
      <w:r>
        <w:t>levels</w:t>
      </w:r>
      <w:r>
        <w:rPr>
          <w:spacing w:val="20"/>
        </w:rPr>
        <w:t xml:space="preserve"> </w:t>
      </w:r>
      <w:r>
        <w:t>were</w:t>
      </w:r>
      <w:r>
        <w:rPr>
          <w:spacing w:val="19"/>
        </w:rPr>
        <w:t xml:space="preserve"> </w:t>
      </w:r>
      <w:r>
        <w:t>determined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Student</w:t>
      </w:r>
      <w:r>
        <w:rPr>
          <w:spacing w:val="20"/>
        </w:rPr>
        <w:t xml:space="preserve"> </w:t>
      </w:r>
      <w:r>
        <w:rPr>
          <w:spacing w:val="-3"/>
        </w:rPr>
        <w:t>t-test.</w:t>
      </w:r>
    </w:p>
    <w:p w14:paraId="15BB0298" w14:textId="77777777" w:rsidR="009D0E1C" w:rsidRDefault="009D0E1C" w:rsidP="009D0E1C">
      <w:pPr>
        <w:pStyle w:val="BodyText"/>
        <w:spacing w:line="480" w:lineRule="auto"/>
        <w:ind w:left="163" w:right="114"/>
        <w:jc w:val="both"/>
      </w:pPr>
      <w:proofErr w:type="spellStart"/>
      <w:r>
        <w:t>n.s</w:t>
      </w:r>
      <w:proofErr w:type="spellEnd"/>
      <w:r>
        <w:t xml:space="preserve">. not significant. </w:t>
      </w:r>
      <w:r>
        <w:rPr>
          <w:b/>
        </w:rPr>
        <w:t xml:space="preserve">(d) </w:t>
      </w:r>
      <w:r>
        <w:t>HEK293 cells were transfected with AHR reporter and control</w:t>
      </w:r>
      <w:r>
        <w:rPr>
          <w:spacing w:val="-15"/>
        </w:rPr>
        <w:t xml:space="preserve"> </w:t>
      </w:r>
      <w:r>
        <w:t>plasmid</w:t>
      </w:r>
      <w:r>
        <w:rPr>
          <w:spacing w:val="-14"/>
        </w:rPr>
        <w:t xml:space="preserve"> </w:t>
      </w:r>
      <w:r>
        <w:t>(</w:t>
      </w:r>
      <w:proofErr w:type="spellStart"/>
      <w:r>
        <w:t>pGud</w:t>
      </w:r>
      <w:proofErr w:type="spellEnd"/>
      <w:r>
        <w:t>-Luc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proofErr w:type="spellStart"/>
      <w:r>
        <w:t>pTK-Renilla</w:t>
      </w:r>
      <w:proofErr w:type="spellEnd"/>
      <w:r>
        <w:t>).</w:t>
      </w:r>
      <w:r>
        <w:rPr>
          <w:spacing w:val="-15"/>
        </w:rPr>
        <w:t xml:space="preserve"> </w:t>
      </w:r>
      <w:r>
        <w:t>One</w:t>
      </w:r>
      <w:r>
        <w:rPr>
          <w:spacing w:val="-14"/>
        </w:rPr>
        <w:t xml:space="preserve"> </w:t>
      </w:r>
      <w:r>
        <w:t>day</w:t>
      </w:r>
      <w:r>
        <w:rPr>
          <w:spacing w:val="-14"/>
        </w:rPr>
        <w:t xml:space="preserve"> </w:t>
      </w:r>
      <w:r>
        <w:t>after</w:t>
      </w:r>
      <w:r>
        <w:rPr>
          <w:spacing w:val="-14"/>
        </w:rPr>
        <w:t xml:space="preserve"> </w:t>
      </w:r>
      <w:r>
        <w:t>transfection,</w:t>
      </w:r>
      <w:r>
        <w:rPr>
          <w:spacing w:val="-15"/>
        </w:rPr>
        <w:t xml:space="preserve"> </w:t>
      </w:r>
      <w:r>
        <w:t>cells</w:t>
      </w:r>
      <w:r>
        <w:rPr>
          <w:spacing w:val="-14"/>
        </w:rPr>
        <w:t xml:space="preserve"> </w:t>
      </w:r>
      <w:r>
        <w:rPr>
          <w:spacing w:val="-3"/>
        </w:rPr>
        <w:t xml:space="preserve">were </w:t>
      </w:r>
      <w:r>
        <w:t xml:space="preserve">incubated with human serum or pooled healthy controls or MS patients </w:t>
      </w:r>
      <w:r>
        <w:rPr>
          <w:spacing w:val="-8"/>
        </w:rPr>
        <w:t xml:space="preserve">in </w:t>
      </w:r>
      <w:r>
        <w:lastRenderedPageBreak/>
        <w:t>concentration of 1% or 10 %. Luciferase activity was assessed after 24</w:t>
      </w:r>
      <w:r>
        <w:rPr>
          <w:spacing w:val="-5"/>
        </w:rPr>
        <w:t xml:space="preserve"> </w:t>
      </w:r>
      <w:r>
        <w:t>hours.</w:t>
      </w:r>
    </w:p>
    <w:p w14:paraId="425F2BA1" w14:textId="77777777" w:rsidR="009D0E1C" w:rsidRDefault="009D0E1C" w:rsidP="009D0E1C">
      <w:pPr>
        <w:pStyle w:val="BodyText"/>
        <w:rPr>
          <w:sz w:val="26"/>
        </w:rPr>
      </w:pPr>
    </w:p>
    <w:p w14:paraId="581991FC" w14:textId="77777777" w:rsidR="009D0E1C" w:rsidRDefault="009D0E1C" w:rsidP="009D0E1C">
      <w:pPr>
        <w:pStyle w:val="BodyText"/>
        <w:rPr>
          <w:sz w:val="22"/>
        </w:rPr>
      </w:pPr>
    </w:p>
    <w:p w14:paraId="680249DC" w14:textId="77777777" w:rsidR="009D0E1C" w:rsidRDefault="009D0E1C" w:rsidP="009D0E1C">
      <w:pPr>
        <w:pStyle w:val="Heading1"/>
        <w:spacing w:before="0" w:line="480" w:lineRule="auto"/>
        <w:ind w:right="114"/>
        <w:jc w:val="both"/>
      </w:pPr>
      <w:r>
        <w:t xml:space="preserve">Supplementary Figure </w:t>
      </w:r>
      <w:r>
        <w:rPr>
          <w:color w:val="4472C4"/>
        </w:rPr>
        <w:t>2</w:t>
      </w:r>
      <w:r>
        <w:t>: Gender and treatment does not influence AHR agonistic activity in SPMS and PPMS patients.</w:t>
      </w:r>
    </w:p>
    <w:p w14:paraId="1B7C265F" w14:textId="5FE5D7B0" w:rsidR="009D0E1C" w:rsidRDefault="009D0E1C" w:rsidP="009D0E1C">
      <w:pPr>
        <w:pStyle w:val="BodyText"/>
        <w:spacing w:before="1" w:line="480" w:lineRule="auto"/>
        <w:ind w:left="163" w:right="114"/>
        <w:jc w:val="both"/>
        <w:sectPr w:rsidR="009D0E1C">
          <w:pgSz w:w="11900" w:h="16840"/>
          <w:pgMar w:top="1340" w:right="1300" w:bottom="980" w:left="1680" w:header="0" w:footer="720" w:gutter="0"/>
          <w:cols w:space="720"/>
        </w:sectPr>
      </w:pPr>
      <w:r>
        <w:rPr>
          <w:b/>
        </w:rPr>
        <w:t xml:space="preserve">(a) </w:t>
      </w:r>
      <w:r>
        <w:t xml:space="preserve">Comparison of AHR agonist activity between female and male patients within the cohort of SPMS patients (n=35). </w:t>
      </w:r>
      <w:r>
        <w:rPr>
          <w:b/>
        </w:rPr>
        <w:t xml:space="preserve">(b) </w:t>
      </w:r>
      <w:r>
        <w:t xml:space="preserve">Comparison of AHR agonist activity between female and male within the cohort of PPMS patients (n=41). </w:t>
      </w:r>
      <w:r>
        <w:rPr>
          <w:b/>
        </w:rPr>
        <w:t xml:space="preserve">(c) </w:t>
      </w:r>
      <w:r>
        <w:t xml:space="preserve">Comparison of AHR agonist activity between treated (n= 21) and non-treated (n=14) SPMS patients. </w:t>
      </w:r>
      <w:r>
        <w:rPr>
          <w:b/>
        </w:rPr>
        <w:t xml:space="preserve">(d) </w:t>
      </w:r>
      <w:r>
        <w:t>Comparison of AHR agonist activity between treated (n=9) and non-treated (n=32) PPMS patients (n=41). Values are means of</w:t>
      </w:r>
    </w:p>
    <w:p w14:paraId="04D8D61E" w14:textId="77777777" w:rsidR="009D0E1C" w:rsidRDefault="009D0E1C" w:rsidP="009D0E1C">
      <w:pPr>
        <w:pStyle w:val="BodyText"/>
        <w:spacing w:before="75" w:line="480" w:lineRule="auto"/>
      </w:pPr>
      <w:r>
        <w:lastRenderedPageBreak/>
        <w:t>technical duplicate measurements. Lines represent mean and error bars standard error of the mean (SEM). Significance levels were determined by Student’s t-test.</w:t>
      </w:r>
    </w:p>
    <w:p w14:paraId="0D9AFAF1" w14:textId="77777777" w:rsidR="009D0E1C" w:rsidRDefault="009D0E1C" w:rsidP="009D0E1C">
      <w:pPr>
        <w:pStyle w:val="BodyText"/>
        <w:ind w:left="163"/>
      </w:pPr>
      <w:proofErr w:type="spellStart"/>
      <w:r>
        <w:t>n.s</w:t>
      </w:r>
      <w:proofErr w:type="spellEnd"/>
      <w:r>
        <w:t>. not significant.</w:t>
      </w:r>
    </w:p>
    <w:p w14:paraId="0D99B251" w14:textId="77777777" w:rsidR="009D0E1C" w:rsidRDefault="009D0E1C" w:rsidP="009D0E1C">
      <w:pPr>
        <w:pStyle w:val="BodyText"/>
        <w:rPr>
          <w:sz w:val="26"/>
        </w:rPr>
      </w:pPr>
    </w:p>
    <w:p w14:paraId="5C5A7AD5" w14:textId="77777777" w:rsidR="009D0E1C" w:rsidRDefault="009D0E1C" w:rsidP="009D0E1C">
      <w:pPr>
        <w:pStyle w:val="BodyText"/>
        <w:rPr>
          <w:sz w:val="26"/>
        </w:rPr>
      </w:pPr>
    </w:p>
    <w:p w14:paraId="16271A11" w14:textId="77777777" w:rsidR="009D0E1C" w:rsidRDefault="009D0E1C" w:rsidP="009D0E1C">
      <w:pPr>
        <w:pStyle w:val="Heading1"/>
        <w:spacing w:before="230" w:line="480" w:lineRule="auto"/>
      </w:pPr>
      <w:r>
        <w:rPr>
          <w:color w:val="4472C4"/>
        </w:rPr>
        <w:t>Supplementary Figure 3: AHR agonistic activity does not correlate with relapse rate.</w:t>
      </w:r>
    </w:p>
    <w:p w14:paraId="751FCC19" w14:textId="77777777" w:rsidR="009D0E1C" w:rsidRDefault="009D0E1C" w:rsidP="009D0E1C">
      <w:pPr>
        <w:pStyle w:val="BodyText"/>
        <w:spacing w:line="480" w:lineRule="auto"/>
        <w:ind w:left="163" w:right="666"/>
      </w:pPr>
      <w:r>
        <w:rPr>
          <w:color w:val="4472C4"/>
        </w:rPr>
        <w:t>Linear regression analysis of correlation between AHR agonistic activity and clinical relapses in longitudinal patient cohort.</w:t>
      </w:r>
    </w:p>
    <w:p w14:paraId="400E1A63" w14:textId="0F90577A" w:rsidR="009D0E1C" w:rsidRDefault="009D0E1C" w:rsidP="009D0E1C"/>
    <w:p w14:paraId="2F78A34F" w14:textId="421DEC2F" w:rsidR="009D0E1C" w:rsidRDefault="009D0E1C" w:rsidP="009D0E1C">
      <w:bookmarkStart w:id="0" w:name="_GoBack"/>
      <w:bookmarkEnd w:id="0"/>
    </w:p>
    <w:p w14:paraId="10FAA2CA" w14:textId="321B91DB" w:rsidR="009D0E1C" w:rsidRDefault="009D0E1C" w:rsidP="009D0E1C"/>
    <w:sectPr w:rsidR="009D0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1C"/>
    <w:rsid w:val="005F1BE8"/>
    <w:rsid w:val="009D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AEF27"/>
  <w15:chartTrackingRefBased/>
  <w15:docId w15:val="{CAB4BD02-7D66-420A-A10D-CF757324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D0E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9D0E1C"/>
    <w:pPr>
      <w:spacing w:before="75"/>
      <w:ind w:left="16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D0E1C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D0E1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0E1C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D0E1C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Sorenson</dc:creator>
  <cp:keywords/>
  <dc:description/>
  <cp:lastModifiedBy>Morgan Sorenson</cp:lastModifiedBy>
  <cp:revision>1</cp:revision>
  <dcterms:created xsi:type="dcterms:W3CDTF">2020-10-29T13:09:00Z</dcterms:created>
  <dcterms:modified xsi:type="dcterms:W3CDTF">2020-10-29T13:13:00Z</dcterms:modified>
</cp:coreProperties>
</file>