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8791" w14:textId="3F207ED0" w:rsidR="0017403A" w:rsidRPr="00FB4271" w:rsidRDefault="0017403A" w:rsidP="0017403A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Table e-1</w:t>
      </w:r>
      <w:r w:rsidRPr="00FB427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.  CNS autoantibody testing performed in the seven patients from our series.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65"/>
        <w:gridCol w:w="1065"/>
        <w:gridCol w:w="1067"/>
        <w:gridCol w:w="1067"/>
        <w:gridCol w:w="1067"/>
        <w:gridCol w:w="1067"/>
        <w:gridCol w:w="1067"/>
        <w:gridCol w:w="1063"/>
      </w:tblGrid>
      <w:tr w:rsidR="0017403A" w:rsidRPr="0041183C" w14:paraId="7D7FA938" w14:textId="77777777" w:rsidTr="0017403A">
        <w:tc>
          <w:tcPr>
            <w:tcW w:w="1124" w:type="pct"/>
          </w:tcPr>
          <w:p w14:paraId="5C9D6FC9" w14:textId="77777777" w:rsidR="0017403A" w:rsidRPr="0041183C" w:rsidRDefault="0017403A" w:rsidP="009141C1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53" w:type="pct"/>
          </w:tcPr>
          <w:p w14:paraId="1ED64F02" w14:textId="77777777" w:rsidR="0017403A" w:rsidRPr="0041183C" w:rsidRDefault="0017403A" w:rsidP="009141C1">
            <w:pPr>
              <w:jc w:val="both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b/>
                <w:bCs/>
                <w:sz w:val="16"/>
                <w:szCs w:val="16"/>
                <w:lang w:val="en-US"/>
              </w:rPr>
              <w:t>patient#1</w:t>
            </w:r>
          </w:p>
        </w:tc>
        <w:tc>
          <w:tcPr>
            <w:tcW w:w="554" w:type="pct"/>
          </w:tcPr>
          <w:p w14:paraId="1EA1C32A" w14:textId="77777777" w:rsidR="0017403A" w:rsidRPr="0041183C" w:rsidRDefault="0017403A" w:rsidP="009141C1">
            <w:pPr>
              <w:jc w:val="both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b/>
                <w:bCs/>
                <w:sz w:val="16"/>
                <w:szCs w:val="16"/>
                <w:lang w:val="en-US"/>
              </w:rPr>
              <w:t>patient#2</w:t>
            </w:r>
          </w:p>
        </w:tc>
        <w:tc>
          <w:tcPr>
            <w:tcW w:w="554" w:type="pct"/>
          </w:tcPr>
          <w:p w14:paraId="3EC8E804" w14:textId="77777777" w:rsidR="0017403A" w:rsidRPr="0041183C" w:rsidRDefault="0017403A" w:rsidP="009141C1">
            <w:pPr>
              <w:jc w:val="both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b/>
                <w:bCs/>
                <w:sz w:val="16"/>
                <w:szCs w:val="16"/>
                <w:lang w:val="en-US"/>
              </w:rPr>
              <w:t>patient#3</w:t>
            </w:r>
          </w:p>
        </w:tc>
        <w:tc>
          <w:tcPr>
            <w:tcW w:w="554" w:type="pct"/>
          </w:tcPr>
          <w:p w14:paraId="3C79BF6A" w14:textId="77777777" w:rsidR="0017403A" w:rsidRPr="0041183C" w:rsidRDefault="0017403A" w:rsidP="009141C1">
            <w:pPr>
              <w:jc w:val="both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b/>
                <w:bCs/>
                <w:sz w:val="16"/>
                <w:szCs w:val="16"/>
                <w:lang w:val="en-US"/>
              </w:rPr>
              <w:t>patient#4</w:t>
            </w:r>
          </w:p>
        </w:tc>
        <w:tc>
          <w:tcPr>
            <w:tcW w:w="554" w:type="pct"/>
          </w:tcPr>
          <w:p w14:paraId="25B116CF" w14:textId="77777777" w:rsidR="0017403A" w:rsidRPr="0041183C" w:rsidRDefault="0017403A" w:rsidP="009141C1">
            <w:pPr>
              <w:jc w:val="both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b/>
                <w:bCs/>
                <w:sz w:val="16"/>
                <w:szCs w:val="16"/>
                <w:lang w:val="en-US"/>
              </w:rPr>
              <w:t>patient#5</w:t>
            </w:r>
          </w:p>
        </w:tc>
        <w:tc>
          <w:tcPr>
            <w:tcW w:w="554" w:type="pct"/>
          </w:tcPr>
          <w:p w14:paraId="15C4B9C0" w14:textId="77777777" w:rsidR="0017403A" w:rsidRPr="0041183C" w:rsidRDefault="0017403A" w:rsidP="009141C1">
            <w:pPr>
              <w:jc w:val="both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b/>
                <w:bCs/>
                <w:sz w:val="16"/>
                <w:szCs w:val="16"/>
                <w:lang w:val="en-US"/>
              </w:rPr>
              <w:t>patient#6</w:t>
            </w:r>
          </w:p>
        </w:tc>
        <w:tc>
          <w:tcPr>
            <w:tcW w:w="552" w:type="pct"/>
          </w:tcPr>
          <w:p w14:paraId="3716B738" w14:textId="77777777" w:rsidR="0017403A" w:rsidRPr="0041183C" w:rsidRDefault="0017403A" w:rsidP="009141C1">
            <w:pPr>
              <w:jc w:val="both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b/>
                <w:bCs/>
                <w:sz w:val="16"/>
                <w:szCs w:val="16"/>
                <w:lang w:val="en-US"/>
              </w:rPr>
              <w:t>patient#7</w:t>
            </w:r>
          </w:p>
        </w:tc>
      </w:tr>
      <w:tr w:rsidR="0017403A" w:rsidRPr="0041183C" w14:paraId="0BEC84B4" w14:textId="77777777" w:rsidTr="0017403A">
        <w:trPr>
          <w:trHeight w:val="791"/>
        </w:trPr>
        <w:tc>
          <w:tcPr>
            <w:tcW w:w="1124" w:type="pct"/>
          </w:tcPr>
          <w:p w14:paraId="258BCD4B" w14:textId="77777777" w:rsidR="0017403A" w:rsidRPr="0041183C" w:rsidRDefault="0017403A" w:rsidP="009141C1">
            <w:pPr>
              <w:spacing w:before="60" w:after="60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b/>
                <w:bCs/>
                <w:sz w:val="16"/>
                <w:szCs w:val="16"/>
                <w:lang w:val="en-US"/>
              </w:rPr>
              <w:t>Anti-AQP4 Ab</w:t>
            </w:r>
          </w:p>
          <w:p w14:paraId="7F4F8B23" w14:textId="77777777" w:rsidR="0017403A" w:rsidRPr="0041183C" w:rsidRDefault="0017403A" w:rsidP="009141C1">
            <w:pPr>
              <w:spacing w:before="60" w:after="60"/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Commercial CBA </w:t>
            </w:r>
            <w:bookmarkStart w:id="0" w:name="_Hlk56693161"/>
            <w:r w:rsidRPr="0041183C">
              <w:rPr>
                <w:rFonts w:cstheme="minorHAnsi"/>
                <w:i/>
                <w:iCs/>
                <w:sz w:val="16"/>
                <w:szCs w:val="16"/>
                <w:lang w:val="en-US"/>
              </w:rPr>
              <w:t>(</w:t>
            </w:r>
            <w:proofErr w:type="spellStart"/>
            <w:r w:rsidRPr="0041183C">
              <w:rPr>
                <w:rFonts w:cstheme="minorHAnsi"/>
                <w:i/>
                <w:iCs/>
                <w:sz w:val="16"/>
                <w:szCs w:val="16"/>
                <w:lang w:val="en-US"/>
              </w:rPr>
              <w:t>Euroimmun</w:t>
            </w:r>
            <w:proofErr w:type="spellEnd"/>
            <w:r w:rsidRPr="0041183C">
              <w:rPr>
                <w:rFonts w:cstheme="minorHAnsi"/>
                <w:i/>
                <w:iCs/>
                <w:sz w:val="16"/>
                <w:szCs w:val="16"/>
                <w:lang w:val="en-US"/>
              </w:rPr>
              <w:t>, Lubeck, Germany)</w:t>
            </w:r>
            <w:bookmarkEnd w:id="0"/>
          </w:p>
        </w:tc>
        <w:tc>
          <w:tcPr>
            <w:tcW w:w="553" w:type="pct"/>
          </w:tcPr>
          <w:p w14:paraId="2999B634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sz w:val="16"/>
                <w:szCs w:val="16"/>
                <w:lang w:val="en-US"/>
              </w:rPr>
              <w:t>Negative, CSF and serum</w:t>
            </w:r>
          </w:p>
        </w:tc>
        <w:tc>
          <w:tcPr>
            <w:tcW w:w="554" w:type="pct"/>
          </w:tcPr>
          <w:p w14:paraId="08EF9F5E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sz w:val="16"/>
                <w:szCs w:val="16"/>
                <w:lang w:val="en-US"/>
              </w:rPr>
              <w:t>NA</w:t>
            </w:r>
          </w:p>
        </w:tc>
        <w:tc>
          <w:tcPr>
            <w:tcW w:w="554" w:type="pct"/>
          </w:tcPr>
          <w:p w14:paraId="6BC18EA5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sz w:val="16"/>
                <w:szCs w:val="16"/>
                <w:lang w:val="en-US"/>
              </w:rPr>
              <w:t>Negative, serum</w:t>
            </w:r>
          </w:p>
        </w:tc>
        <w:tc>
          <w:tcPr>
            <w:tcW w:w="554" w:type="pct"/>
          </w:tcPr>
          <w:p w14:paraId="7B8A444D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sz w:val="16"/>
                <w:szCs w:val="16"/>
                <w:lang w:val="en-US"/>
              </w:rPr>
              <w:t>Negative, serum</w:t>
            </w:r>
            <w:r w:rsidRPr="0041183C">
              <w:rPr>
                <w:rFonts w:cstheme="minorHAnsi"/>
                <w:i/>
                <w:iCs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554" w:type="pct"/>
          </w:tcPr>
          <w:p w14:paraId="026B41A0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sz w:val="16"/>
                <w:szCs w:val="16"/>
                <w:lang w:val="en-US"/>
              </w:rPr>
              <w:t>NA</w:t>
            </w:r>
          </w:p>
        </w:tc>
        <w:tc>
          <w:tcPr>
            <w:tcW w:w="554" w:type="pct"/>
          </w:tcPr>
          <w:p w14:paraId="67C15025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sz w:val="16"/>
                <w:szCs w:val="16"/>
                <w:lang w:val="en-US"/>
              </w:rPr>
              <w:t>Negative, serum</w:t>
            </w:r>
          </w:p>
        </w:tc>
        <w:tc>
          <w:tcPr>
            <w:tcW w:w="552" w:type="pct"/>
          </w:tcPr>
          <w:p w14:paraId="7E2C7E0C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sz w:val="16"/>
                <w:szCs w:val="16"/>
                <w:lang w:val="en-US"/>
              </w:rPr>
              <w:t>Negative, CSF and serum</w:t>
            </w:r>
          </w:p>
        </w:tc>
      </w:tr>
      <w:tr w:rsidR="0017403A" w:rsidRPr="0041183C" w14:paraId="38E65EB7" w14:textId="77777777" w:rsidTr="0017403A">
        <w:trPr>
          <w:trHeight w:val="821"/>
        </w:trPr>
        <w:tc>
          <w:tcPr>
            <w:tcW w:w="1124" w:type="pct"/>
          </w:tcPr>
          <w:p w14:paraId="0BABA810" w14:textId="77777777" w:rsidR="0017403A" w:rsidRPr="0041183C" w:rsidRDefault="0017403A" w:rsidP="009141C1">
            <w:pPr>
              <w:spacing w:before="60" w:after="60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b/>
                <w:bCs/>
                <w:sz w:val="16"/>
                <w:szCs w:val="16"/>
                <w:lang w:val="en-US"/>
              </w:rPr>
              <w:t>Anti-MOG Ab</w:t>
            </w:r>
          </w:p>
          <w:p w14:paraId="535B29E7" w14:textId="77777777" w:rsidR="0017403A" w:rsidRPr="0041183C" w:rsidRDefault="0017403A" w:rsidP="009141C1">
            <w:pPr>
              <w:spacing w:before="60" w:after="60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i/>
                <w:iCs/>
                <w:sz w:val="16"/>
                <w:szCs w:val="16"/>
                <w:lang w:val="en-US"/>
              </w:rPr>
              <w:t>Commercial or in-house CBA (</w:t>
            </w:r>
            <w:proofErr w:type="spellStart"/>
            <w:r w:rsidRPr="0041183C">
              <w:rPr>
                <w:rFonts w:cstheme="minorHAnsi"/>
                <w:i/>
                <w:iCs/>
                <w:sz w:val="16"/>
                <w:szCs w:val="16"/>
                <w:lang w:val="en-US"/>
              </w:rPr>
              <w:t>Euroimmun</w:t>
            </w:r>
            <w:proofErr w:type="spellEnd"/>
            <w:r w:rsidRPr="0041183C">
              <w:rPr>
                <w:rFonts w:cstheme="minorHAnsi"/>
                <w:i/>
                <w:iCs/>
                <w:sz w:val="16"/>
                <w:szCs w:val="16"/>
                <w:lang w:val="en-US"/>
              </w:rPr>
              <w:t>, Lubeck, Germany)</w:t>
            </w:r>
          </w:p>
        </w:tc>
        <w:tc>
          <w:tcPr>
            <w:tcW w:w="553" w:type="pct"/>
          </w:tcPr>
          <w:p w14:paraId="6B6376AE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sz w:val="16"/>
                <w:szCs w:val="16"/>
                <w:lang w:val="en-US"/>
              </w:rPr>
              <w:t>Negative, serum</w:t>
            </w:r>
          </w:p>
        </w:tc>
        <w:tc>
          <w:tcPr>
            <w:tcW w:w="554" w:type="pct"/>
          </w:tcPr>
          <w:p w14:paraId="61CCE366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sz w:val="16"/>
                <w:szCs w:val="16"/>
                <w:lang w:val="en-US"/>
              </w:rPr>
              <w:t>NA</w:t>
            </w:r>
          </w:p>
        </w:tc>
        <w:tc>
          <w:tcPr>
            <w:tcW w:w="554" w:type="pct"/>
          </w:tcPr>
          <w:p w14:paraId="0C3CB95E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sz w:val="16"/>
                <w:szCs w:val="16"/>
                <w:lang w:val="en-US"/>
              </w:rPr>
              <w:t>NA</w:t>
            </w:r>
          </w:p>
        </w:tc>
        <w:tc>
          <w:tcPr>
            <w:tcW w:w="554" w:type="pct"/>
          </w:tcPr>
          <w:p w14:paraId="10A0018D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sz w:val="16"/>
                <w:szCs w:val="16"/>
                <w:lang w:val="en-US"/>
              </w:rPr>
              <w:t>Negative, serum</w:t>
            </w:r>
          </w:p>
        </w:tc>
        <w:tc>
          <w:tcPr>
            <w:tcW w:w="554" w:type="pct"/>
          </w:tcPr>
          <w:p w14:paraId="65682CC0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sz w:val="16"/>
                <w:szCs w:val="16"/>
                <w:lang w:val="en-US"/>
              </w:rPr>
              <w:t>NA</w:t>
            </w:r>
          </w:p>
        </w:tc>
        <w:tc>
          <w:tcPr>
            <w:tcW w:w="554" w:type="pct"/>
          </w:tcPr>
          <w:p w14:paraId="6889BA3C" w14:textId="77777777" w:rsidR="0017403A" w:rsidRPr="0041183C" w:rsidRDefault="0017403A" w:rsidP="009141C1">
            <w:pPr>
              <w:rPr>
                <w:rFonts w:cstheme="minorHAnsi"/>
                <w:i/>
                <w:iCs/>
                <w:sz w:val="14"/>
                <w:szCs w:val="14"/>
                <w:lang w:val="en-US"/>
              </w:rPr>
            </w:pPr>
            <w:r w:rsidRPr="0041183C">
              <w:rPr>
                <w:rFonts w:cstheme="minorHAnsi"/>
                <w:sz w:val="16"/>
                <w:szCs w:val="16"/>
                <w:lang w:val="en-US"/>
              </w:rPr>
              <w:t>Negative, serum</w:t>
            </w:r>
            <w:r w:rsidRPr="0041183C">
              <w:rPr>
                <w:rFonts w:cstheme="minorHAnsi"/>
                <w:i/>
                <w:iCs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552" w:type="pct"/>
          </w:tcPr>
          <w:p w14:paraId="06BA6CA3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sz w:val="16"/>
                <w:szCs w:val="16"/>
                <w:lang w:val="en-US"/>
              </w:rPr>
              <w:t>Negative, serum</w:t>
            </w:r>
          </w:p>
        </w:tc>
      </w:tr>
      <w:tr w:rsidR="0017403A" w:rsidRPr="0041183C" w14:paraId="6E7B52DA" w14:textId="77777777" w:rsidTr="0017403A">
        <w:trPr>
          <w:trHeight w:val="1991"/>
        </w:trPr>
        <w:tc>
          <w:tcPr>
            <w:tcW w:w="1124" w:type="pct"/>
          </w:tcPr>
          <w:p w14:paraId="78CC607A" w14:textId="77777777" w:rsidR="0017403A" w:rsidRPr="0041183C" w:rsidRDefault="0017403A" w:rsidP="009141C1">
            <w:pPr>
              <w:spacing w:before="60" w:after="60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1183C">
              <w:rPr>
                <w:rFonts w:cstheme="minorHAnsi"/>
                <w:b/>
                <w:bCs/>
                <w:sz w:val="16"/>
                <w:szCs w:val="16"/>
                <w:lang w:val="en-US"/>
              </w:rPr>
              <w:t>Onconeural</w:t>
            </w:r>
            <w:proofErr w:type="spellEnd"/>
            <w:r w:rsidRPr="0041183C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(Hu, </w:t>
            </w:r>
            <w:proofErr w:type="spellStart"/>
            <w:r w:rsidRPr="0041183C">
              <w:rPr>
                <w:rFonts w:cstheme="minorHAnsi"/>
                <w:b/>
                <w:bCs/>
                <w:sz w:val="16"/>
                <w:szCs w:val="16"/>
                <w:lang w:val="en-US"/>
              </w:rPr>
              <w:t>Ri</w:t>
            </w:r>
            <w:proofErr w:type="spellEnd"/>
            <w:r w:rsidRPr="0041183C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183C">
              <w:rPr>
                <w:rFonts w:cstheme="minorHAnsi"/>
                <w:b/>
                <w:bCs/>
                <w:sz w:val="16"/>
                <w:szCs w:val="16"/>
                <w:lang w:val="en-US"/>
              </w:rPr>
              <w:t>Yo</w:t>
            </w:r>
            <w:proofErr w:type="spellEnd"/>
            <w:r w:rsidRPr="0041183C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, CV2, </w:t>
            </w:r>
            <w:proofErr w:type="spellStart"/>
            <w:r w:rsidRPr="0041183C">
              <w:rPr>
                <w:rFonts w:cstheme="minorHAnsi"/>
                <w:b/>
                <w:bCs/>
                <w:sz w:val="16"/>
                <w:szCs w:val="16"/>
                <w:lang w:val="en-US"/>
              </w:rPr>
              <w:t>Tr</w:t>
            </w:r>
            <w:proofErr w:type="spellEnd"/>
            <w:r w:rsidRPr="0041183C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, Ma2, </w:t>
            </w:r>
            <w:proofErr w:type="spellStart"/>
            <w:r w:rsidRPr="0041183C">
              <w:rPr>
                <w:rFonts w:cstheme="minorHAnsi"/>
                <w:b/>
                <w:bCs/>
                <w:sz w:val="16"/>
                <w:szCs w:val="16"/>
                <w:lang w:val="en-US"/>
              </w:rPr>
              <w:t>amphiphysin</w:t>
            </w:r>
            <w:proofErr w:type="spellEnd"/>
            <w:r w:rsidRPr="0041183C">
              <w:rPr>
                <w:rFonts w:cstheme="minorHAnsi"/>
                <w:b/>
                <w:bCs/>
                <w:sz w:val="16"/>
                <w:szCs w:val="16"/>
                <w:lang w:val="en-US"/>
              </w:rPr>
              <w:t>) and GAD Ab</w:t>
            </w:r>
          </w:p>
          <w:p w14:paraId="539E2BE5" w14:textId="77777777" w:rsidR="0017403A" w:rsidRPr="0041183C" w:rsidRDefault="0017403A" w:rsidP="009141C1">
            <w:pPr>
              <w:spacing w:before="60" w:after="60"/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i/>
                <w:iCs/>
                <w:sz w:val="16"/>
                <w:szCs w:val="16"/>
                <w:lang w:val="en-US"/>
              </w:rPr>
              <w:t>Commercial indirect immunofluorescence IHC (</w:t>
            </w:r>
            <w:proofErr w:type="spellStart"/>
            <w:r w:rsidRPr="0041183C">
              <w:rPr>
                <w:rFonts w:cstheme="minorHAnsi"/>
                <w:i/>
                <w:iCs/>
                <w:sz w:val="16"/>
                <w:szCs w:val="16"/>
                <w:lang w:val="en-US"/>
              </w:rPr>
              <w:t>Euroimmun</w:t>
            </w:r>
            <w:proofErr w:type="spellEnd"/>
            <w:r w:rsidRPr="0041183C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, Lubeck, Germany) </w:t>
            </w:r>
          </w:p>
          <w:p w14:paraId="7606C887" w14:textId="77777777" w:rsidR="0017403A" w:rsidRPr="0041183C" w:rsidRDefault="0017403A" w:rsidP="009141C1">
            <w:pPr>
              <w:spacing w:before="120" w:after="60"/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i/>
                <w:iCs/>
                <w:sz w:val="16"/>
                <w:szCs w:val="16"/>
                <w:lang w:val="en-US"/>
              </w:rPr>
              <w:t>Commercial line immunoblo</w:t>
            </w:r>
            <w:r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t </w:t>
            </w:r>
            <w:r w:rsidRPr="0041183C">
              <w:rPr>
                <w:rFonts w:cstheme="minorHAnsi"/>
                <w:i/>
                <w:iCs/>
                <w:sz w:val="16"/>
                <w:szCs w:val="16"/>
                <w:lang w:val="en-US"/>
              </w:rPr>
              <w:t>(</w:t>
            </w:r>
            <w:proofErr w:type="spellStart"/>
            <w:r w:rsidRPr="0041183C">
              <w:rPr>
                <w:rFonts w:cstheme="minorHAnsi"/>
                <w:i/>
                <w:iCs/>
                <w:sz w:val="16"/>
                <w:szCs w:val="16"/>
                <w:lang w:val="en-US"/>
              </w:rPr>
              <w:t>Euroimmun</w:t>
            </w:r>
            <w:proofErr w:type="spellEnd"/>
            <w:r w:rsidRPr="0041183C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, Lubeck, Germany) </w:t>
            </w:r>
          </w:p>
        </w:tc>
        <w:tc>
          <w:tcPr>
            <w:tcW w:w="553" w:type="pct"/>
          </w:tcPr>
          <w:p w14:paraId="7D47E929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sz w:val="16"/>
                <w:szCs w:val="16"/>
                <w:lang w:val="en-US"/>
              </w:rPr>
              <w:t>Negative, serum</w:t>
            </w:r>
          </w:p>
          <w:p w14:paraId="4AC8CF7E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54" w:type="pct"/>
          </w:tcPr>
          <w:p w14:paraId="14CCE985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sz w:val="16"/>
                <w:szCs w:val="16"/>
                <w:lang w:val="en-US"/>
              </w:rPr>
              <w:t>NA</w:t>
            </w:r>
          </w:p>
        </w:tc>
        <w:tc>
          <w:tcPr>
            <w:tcW w:w="554" w:type="pct"/>
          </w:tcPr>
          <w:p w14:paraId="14275781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sz w:val="16"/>
                <w:szCs w:val="16"/>
                <w:lang w:val="en-US"/>
              </w:rPr>
              <w:t>NA</w:t>
            </w:r>
          </w:p>
        </w:tc>
        <w:tc>
          <w:tcPr>
            <w:tcW w:w="554" w:type="pct"/>
          </w:tcPr>
          <w:p w14:paraId="4454AE94" w14:textId="77777777" w:rsidR="0017403A" w:rsidRPr="0041183C" w:rsidRDefault="0017403A" w:rsidP="009141C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sz w:val="16"/>
                <w:szCs w:val="16"/>
                <w:lang w:val="en-US"/>
              </w:rPr>
              <w:t>Negative, serum</w:t>
            </w:r>
            <w:r w:rsidRPr="0041183C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7FBA3EE0" w14:textId="77777777" w:rsidR="0017403A" w:rsidRPr="0041183C" w:rsidRDefault="0017403A" w:rsidP="009141C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54" w:type="pct"/>
          </w:tcPr>
          <w:p w14:paraId="270B12C9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sz w:val="16"/>
                <w:szCs w:val="16"/>
                <w:lang w:val="en-US"/>
              </w:rPr>
              <w:t>Negative, serum</w:t>
            </w:r>
          </w:p>
        </w:tc>
        <w:tc>
          <w:tcPr>
            <w:tcW w:w="554" w:type="pct"/>
          </w:tcPr>
          <w:p w14:paraId="6EDC62C9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sz w:val="16"/>
                <w:szCs w:val="16"/>
                <w:lang w:val="en-US"/>
              </w:rPr>
              <w:t>Negative, serum</w:t>
            </w:r>
          </w:p>
        </w:tc>
        <w:tc>
          <w:tcPr>
            <w:tcW w:w="552" w:type="pct"/>
          </w:tcPr>
          <w:p w14:paraId="17C6BAF3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sz w:val="16"/>
                <w:szCs w:val="16"/>
                <w:lang w:val="en-US"/>
              </w:rPr>
              <w:t>Negative, serum</w:t>
            </w:r>
          </w:p>
          <w:p w14:paraId="3DFEAE8E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17403A" w:rsidRPr="0041183C" w14:paraId="560F4DF7" w14:textId="77777777" w:rsidTr="0017403A">
        <w:trPr>
          <w:trHeight w:val="1277"/>
        </w:trPr>
        <w:tc>
          <w:tcPr>
            <w:tcW w:w="1124" w:type="pct"/>
          </w:tcPr>
          <w:p w14:paraId="0C266A29" w14:textId="77777777" w:rsidR="0017403A" w:rsidRPr="00695152" w:rsidRDefault="0017403A" w:rsidP="009141C1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r w:rsidRPr="00695152">
              <w:rPr>
                <w:rFonts w:cstheme="minorHAnsi"/>
                <w:b/>
                <w:bCs/>
                <w:sz w:val="16"/>
                <w:szCs w:val="16"/>
              </w:rPr>
              <w:t xml:space="preserve">Ab to </w:t>
            </w:r>
            <w:proofErr w:type="spellStart"/>
            <w:r w:rsidRPr="00695152">
              <w:rPr>
                <w:rFonts w:cstheme="minorHAnsi"/>
                <w:b/>
                <w:bCs/>
                <w:sz w:val="16"/>
                <w:szCs w:val="16"/>
              </w:rPr>
              <w:t>cell</w:t>
            </w:r>
            <w:proofErr w:type="spellEnd"/>
            <w:r w:rsidRPr="00695152">
              <w:rPr>
                <w:rFonts w:cstheme="minorHAnsi"/>
                <w:b/>
                <w:bCs/>
                <w:sz w:val="16"/>
                <w:szCs w:val="16"/>
              </w:rPr>
              <w:t xml:space="preserve">- surface </w:t>
            </w:r>
            <w:proofErr w:type="spellStart"/>
            <w:r w:rsidRPr="00695152">
              <w:rPr>
                <w:rFonts w:cstheme="minorHAnsi"/>
                <w:b/>
                <w:bCs/>
                <w:sz w:val="16"/>
                <w:szCs w:val="16"/>
              </w:rPr>
              <w:t>antigens</w:t>
            </w:r>
            <w:proofErr w:type="spellEnd"/>
            <w:r w:rsidRPr="00695152">
              <w:rPr>
                <w:rFonts w:cstheme="minorHAnsi"/>
                <w:sz w:val="16"/>
                <w:szCs w:val="16"/>
              </w:rPr>
              <w:t xml:space="preserve"> </w:t>
            </w:r>
            <w:r w:rsidRPr="00695152">
              <w:rPr>
                <w:rFonts w:cstheme="minorHAnsi"/>
                <w:b/>
                <w:bCs/>
                <w:sz w:val="16"/>
                <w:szCs w:val="16"/>
              </w:rPr>
              <w:t xml:space="preserve">(NMDAR, LGI1, CASPR2, AMPA, </w:t>
            </w:r>
            <w:proofErr w:type="spellStart"/>
            <w:r w:rsidRPr="00695152">
              <w:rPr>
                <w:rFonts w:cstheme="minorHAnsi"/>
                <w:b/>
                <w:bCs/>
                <w:sz w:val="16"/>
                <w:szCs w:val="16"/>
              </w:rPr>
              <w:t>GABAb</w:t>
            </w:r>
            <w:proofErr w:type="spellEnd"/>
            <w:r w:rsidRPr="00695152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  <w:p w14:paraId="38C36F33" w14:textId="77777777" w:rsidR="0017403A" w:rsidRPr="00695152" w:rsidRDefault="0017403A" w:rsidP="009141C1">
            <w:pPr>
              <w:spacing w:before="60" w:after="60"/>
              <w:rPr>
                <w:rFonts w:cstheme="minorHAnsi"/>
                <w:i/>
                <w:iCs/>
                <w:sz w:val="16"/>
                <w:szCs w:val="16"/>
              </w:rPr>
            </w:pPr>
            <w:r w:rsidRPr="00695152">
              <w:rPr>
                <w:rFonts w:cstheme="minorHAnsi"/>
                <w:i/>
                <w:iCs/>
                <w:sz w:val="16"/>
                <w:szCs w:val="16"/>
              </w:rPr>
              <w:t>Commercial CBA (</w:t>
            </w:r>
            <w:proofErr w:type="spellStart"/>
            <w:r w:rsidRPr="00695152">
              <w:rPr>
                <w:rFonts w:cstheme="minorHAnsi"/>
                <w:i/>
                <w:iCs/>
                <w:sz w:val="16"/>
                <w:szCs w:val="16"/>
              </w:rPr>
              <w:t>Euroimmun</w:t>
            </w:r>
            <w:proofErr w:type="spellEnd"/>
            <w:r w:rsidRPr="00695152">
              <w:rPr>
                <w:rFonts w:cstheme="minorHAnsi"/>
                <w:i/>
                <w:iCs/>
                <w:sz w:val="16"/>
                <w:szCs w:val="16"/>
              </w:rPr>
              <w:t>, Lubeck, Germany)</w:t>
            </w:r>
          </w:p>
        </w:tc>
        <w:tc>
          <w:tcPr>
            <w:tcW w:w="553" w:type="pct"/>
          </w:tcPr>
          <w:p w14:paraId="3C8DDC3B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sz w:val="16"/>
                <w:szCs w:val="16"/>
                <w:lang w:val="en-US"/>
              </w:rPr>
              <w:t>Negative, CSF</w:t>
            </w:r>
          </w:p>
        </w:tc>
        <w:tc>
          <w:tcPr>
            <w:tcW w:w="554" w:type="pct"/>
          </w:tcPr>
          <w:p w14:paraId="2946A212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sz w:val="16"/>
                <w:szCs w:val="16"/>
                <w:lang w:val="en-US"/>
              </w:rPr>
              <w:t>NA</w:t>
            </w:r>
          </w:p>
        </w:tc>
        <w:tc>
          <w:tcPr>
            <w:tcW w:w="554" w:type="pct"/>
          </w:tcPr>
          <w:p w14:paraId="15C44FD4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sz w:val="16"/>
                <w:szCs w:val="16"/>
                <w:lang w:val="en-US"/>
              </w:rPr>
              <w:t>NA</w:t>
            </w:r>
          </w:p>
        </w:tc>
        <w:tc>
          <w:tcPr>
            <w:tcW w:w="554" w:type="pct"/>
          </w:tcPr>
          <w:p w14:paraId="27372FD7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sz w:val="16"/>
                <w:szCs w:val="16"/>
                <w:lang w:val="en-US"/>
              </w:rPr>
              <w:t>Negative, CSF</w:t>
            </w:r>
          </w:p>
        </w:tc>
        <w:tc>
          <w:tcPr>
            <w:tcW w:w="554" w:type="pct"/>
          </w:tcPr>
          <w:p w14:paraId="0B330AF3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sz w:val="16"/>
                <w:szCs w:val="16"/>
                <w:lang w:val="en-US"/>
              </w:rPr>
              <w:t>Negative, CSF</w:t>
            </w:r>
          </w:p>
        </w:tc>
        <w:tc>
          <w:tcPr>
            <w:tcW w:w="554" w:type="pct"/>
          </w:tcPr>
          <w:p w14:paraId="4037B676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sz w:val="16"/>
                <w:szCs w:val="16"/>
                <w:lang w:val="en-US"/>
              </w:rPr>
              <w:t>Negative, CSF</w:t>
            </w:r>
          </w:p>
        </w:tc>
        <w:tc>
          <w:tcPr>
            <w:tcW w:w="552" w:type="pct"/>
          </w:tcPr>
          <w:p w14:paraId="345FB0D3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sz w:val="16"/>
                <w:szCs w:val="16"/>
                <w:lang w:val="en-US"/>
              </w:rPr>
              <w:t>Negative, CSF</w:t>
            </w:r>
          </w:p>
        </w:tc>
      </w:tr>
      <w:tr w:rsidR="0017403A" w:rsidRPr="00FB4271" w14:paraId="2DA869E8" w14:textId="77777777" w:rsidTr="0017403A">
        <w:tc>
          <w:tcPr>
            <w:tcW w:w="1124" w:type="pct"/>
          </w:tcPr>
          <w:p w14:paraId="242EE93B" w14:textId="77777777" w:rsidR="0017403A" w:rsidRPr="0041183C" w:rsidRDefault="0017403A" w:rsidP="009141C1">
            <w:pPr>
              <w:spacing w:before="60" w:after="60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b/>
                <w:bCs/>
                <w:sz w:val="16"/>
                <w:szCs w:val="16"/>
                <w:lang w:val="en-US"/>
              </w:rPr>
              <w:t>Additional tests</w:t>
            </w:r>
          </w:p>
        </w:tc>
        <w:tc>
          <w:tcPr>
            <w:tcW w:w="553" w:type="pct"/>
          </w:tcPr>
          <w:p w14:paraId="36B63082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sz w:val="16"/>
                <w:szCs w:val="16"/>
                <w:lang w:val="en-US"/>
              </w:rPr>
              <w:t>In-house IHC on rodent brain sections: atypical antibody reactivity</w:t>
            </w:r>
          </w:p>
        </w:tc>
        <w:tc>
          <w:tcPr>
            <w:tcW w:w="554" w:type="pct"/>
          </w:tcPr>
          <w:p w14:paraId="066FCE49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54" w:type="pct"/>
          </w:tcPr>
          <w:p w14:paraId="0A497EF2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54" w:type="pct"/>
          </w:tcPr>
          <w:p w14:paraId="4097B4C6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sz w:val="16"/>
                <w:szCs w:val="16"/>
                <w:lang w:val="en-US"/>
              </w:rPr>
              <w:t>In-house IHC on rodent brain sections followed by in-house CBA for GFAP: positive GFAP Ab in the CSF</w:t>
            </w:r>
          </w:p>
        </w:tc>
        <w:tc>
          <w:tcPr>
            <w:tcW w:w="554" w:type="pct"/>
          </w:tcPr>
          <w:p w14:paraId="16FEE5E0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54" w:type="pct"/>
          </w:tcPr>
          <w:p w14:paraId="4BC582F6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</w:tcPr>
          <w:p w14:paraId="733E073B" w14:textId="77777777" w:rsidR="0017403A" w:rsidRPr="0041183C" w:rsidRDefault="0017403A" w:rsidP="009141C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1183C">
              <w:rPr>
                <w:rFonts w:cstheme="minorHAnsi"/>
                <w:sz w:val="16"/>
                <w:szCs w:val="16"/>
                <w:lang w:val="en-US"/>
              </w:rPr>
              <w:t>In-house IHC on rodent brain sections: atypical antibody reactivity</w:t>
            </w:r>
          </w:p>
        </w:tc>
      </w:tr>
    </w:tbl>
    <w:p w14:paraId="0C174076" w14:textId="77777777" w:rsidR="0017403A" w:rsidRDefault="0017403A" w:rsidP="0017403A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1FE2E746" w14:textId="06C63F7A" w:rsidR="005C6F8C" w:rsidRPr="0017403A" w:rsidRDefault="0017403A" w:rsidP="0017403A">
      <w:pPr>
        <w:spacing w:line="480" w:lineRule="auto"/>
        <w:jc w:val="both"/>
        <w:rPr>
          <w:lang w:val="en-US"/>
        </w:rPr>
      </w:pPr>
      <w:r w:rsidRPr="0017403A">
        <w:rPr>
          <w:rFonts w:ascii="Times New Roman" w:hAnsi="Times New Roman" w:cs="Times New Roman"/>
          <w:b/>
          <w:bCs/>
          <w:i/>
          <w:iCs/>
          <w:lang w:val="en-US"/>
        </w:rPr>
        <w:t xml:space="preserve">Legend to Table e-1. </w:t>
      </w:r>
      <w:r w:rsidRPr="0017403A">
        <w:rPr>
          <w:rFonts w:ascii="Times New Roman" w:hAnsi="Times New Roman" w:cs="Times New Roman"/>
          <w:lang w:val="en-US"/>
        </w:rPr>
        <w:t>Ab=antibodies, CBA=cell-based assay, IHC=immunohistochemistry, NA</w:t>
      </w:r>
      <w:bookmarkStart w:id="1" w:name="_GoBack"/>
      <w:bookmarkEnd w:id="1"/>
      <w:r w:rsidRPr="0017403A">
        <w:rPr>
          <w:rFonts w:ascii="Times New Roman" w:hAnsi="Times New Roman" w:cs="Times New Roman"/>
          <w:lang w:val="en-US"/>
        </w:rPr>
        <w:t>=not tested or results not available.</w:t>
      </w:r>
      <w:r w:rsidRPr="0017403A">
        <w:rPr>
          <w:rFonts w:ascii="Times New Roman" w:hAnsi="Times New Roman" w:cs="Times New Roman"/>
          <w:b/>
          <w:bCs/>
          <w:i/>
          <w:iCs/>
          <w:lang w:val="en-US"/>
        </w:rPr>
        <w:t xml:space="preserve">  </w:t>
      </w:r>
      <w:r w:rsidRPr="0017403A">
        <w:rPr>
          <w:rFonts w:ascii="Times New Roman" w:hAnsi="Times New Roman" w:cs="Times New Roman"/>
          <w:lang w:val="en-US"/>
        </w:rPr>
        <w:t>Anti-AQP4 antibodies were tested using commercial cell-based assays (</w:t>
      </w:r>
      <w:proofErr w:type="spellStart"/>
      <w:r w:rsidRPr="0017403A">
        <w:rPr>
          <w:rFonts w:ascii="Times New Roman" w:hAnsi="Times New Roman" w:cs="Times New Roman"/>
          <w:lang w:val="en-US"/>
        </w:rPr>
        <w:t>Euroimmun</w:t>
      </w:r>
      <w:proofErr w:type="spellEnd"/>
      <w:r w:rsidRPr="0017403A">
        <w:rPr>
          <w:rFonts w:ascii="Times New Roman" w:hAnsi="Times New Roman" w:cs="Times New Roman"/>
          <w:lang w:val="en-US"/>
        </w:rPr>
        <w:t>, Lubeck, Germany). Anti-MOG antibodies were tested using commercial or in-house cell-based assays (</w:t>
      </w:r>
      <w:proofErr w:type="spellStart"/>
      <w:r w:rsidRPr="0017403A">
        <w:rPr>
          <w:rFonts w:ascii="Times New Roman" w:hAnsi="Times New Roman" w:cs="Times New Roman"/>
          <w:lang w:val="en-US"/>
        </w:rPr>
        <w:t>Euroimmun</w:t>
      </w:r>
      <w:proofErr w:type="spellEnd"/>
      <w:r w:rsidRPr="0017403A">
        <w:rPr>
          <w:rFonts w:ascii="Times New Roman" w:hAnsi="Times New Roman" w:cs="Times New Roman"/>
          <w:lang w:val="en-US"/>
        </w:rPr>
        <w:t xml:space="preserve">, Lubeck, Germany). </w:t>
      </w:r>
      <w:proofErr w:type="spellStart"/>
      <w:r w:rsidRPr="0017403A">
        <w:rPr>
          <w:rFonts w:ascii="Times New Roman" w:hAnsi="Times New Roman" w:cs="Times New Roman"/>
          <w:lang w:val="en-US"/>
        </w:rPr>
        <w:t>Onconeural</w:t>
      </w:r>
      <w:proofErr w:type="spellEnd"/>
      <w:r w:rsidRPr="0017403A">
        <w:rPr>
          <w:rFonts w:ascii="Times New Roman" w:hAnsi="Times New Roman" w:cs="Times New Roman"/>
          <w:lang w:val="en-US"/>
        </w:rPr>
        <w:t xml:space="preserve"> (Hu, </w:t>
      </w:r>
      <w:proofErr w:type="spellStart"/>
      <w:r w:rsidRPr="0017403A">
        <w:rPr>
          <w:rFonts w:ascii="Times New Roman" w:hAnsi="Times New Roman" w:cs="Times New Roman"/>
          <w:lang w:val="en-US"/>
        </w:rPr>
        <w:t>Ri</w:t>
      </w:r>
      <w:proofErr w:type="spellEnd"/>
      <w:r w:rsidRPr="0017403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7403A">
        <w:rPr>
          <w:rFonts w:ascii="Times New Roman" w:hAnsi="Times New Roman" w:cs="Times New Roman"/>
          <w:lang w:val="en-US"/>
        </w:rPr>
        <w:t>Yo</w:t>
      </w:r>
      <w:proofErr w:type="spellEnd"/>
      <w:r w:rsidRPr="0017403A">
        <w:rPr>
          <w:rFonts w:ascii="Times New Roman" w:hAnsi="Times New Roman" w:cs="Times New Roman"/>
          <w:lang w:val="en-US"/>
        </w:rPr>
        <w:t xml:space="preserve">, CV2, </w:t>
      </w:r>
      <w:proofErr w:type="spellStart"/>
      <w:r w:rsidRPr="0017403A">
        <w:rPr>
          <w:rFonts w:ascii="Times New Roman" w:hAnsi="Times New Roman" w:cs="Times New Roman"/>
          <w:lang w:val="en-US"/>
        </w:rPr>
        <w:t>Tr</w:t>
      </w:r>
      <w:proofErr w:type="spellEnd"/>
      <w:r w:rsidRPr="0017403A">
        <w:rPr>
          <w:rFonts w:ascii="Times New Roman" w:hAnsi="Times New Roman" w:cs="Times New Roman"/>
          <w:lang w:val="en-US"/>
        </w:rPr>
        <w:t xml:space="preserve">, Ma2, </w:t>
      </w:r>
      <w:proofErr w:type="spellStart"/>
      <w:r w:rsidRPr="0017403A">
        <w:rPr>
          <w:rFonts w:ascii="Times New Roman" w:hAnsi="Times New Roman" w:cs="Times New Roman"/>
          <w:lang w:val="en-US"/>
        </w:rPr>
        <w:t>amphiphysin</w:t>
      </w:r>
      <w:proofErr w:type="spellEnd"/>
      <w:r w:rsidRPr="0017403A">
        <w:rPr>
          <w:rFonts w:ascii="Times New Roman" w:hAnsi="Times New Roman" w:cs="Times New Roman"/>
          <w:lang w:val="en-US"/>
        </w:rPr>
        <w:t>) and GAD antibodies were tested using commercial kits for indirect immunofluorescence immunohistochemistry (</w:t>
      </w:r>
      <w:proofErr w:type="spellStart"/>
      <w:r w:rsidRPr="0017403A">
        <w:rPr>
          <w:rFonts w:ascii="Times New Roman" w:hAnsi="Times New Roman" w:cs="Times New Roman"/>
          <w:lang w:val="en-US"/>
        </w:rPr>
        <w:t>Euroimmun</w:t>
      </w:r>
      <w:proofErr w:type="spellEnd"/>
      <w:r w:rsidRPr="0017403A">
        <w:rPr>
          <w:rFonts w:ascii="Times New Roman" w:hAnsi="Times New Roman" w:cs="Times New Roman"/>
          <w:lang w:val="en-US"/>
        </w:rPr>
        <w:t>, Lubeck, Germany) and line immunoblot (</w:t>
      </w:r>
      <w:proofErr w:type="spellStart"/>
      <w:r w:rsidRPr="0017403A">
        <w:rPr>
          <w:rFonts w:ascii="Times New Roman" w:hAnsi="Times New Roman" w:cs="Times New Roman"/>
          <w:lang w:val="en-US"/>
        </w:rPr>
        <w:t>Euroimmun</w:t>
      </w:r>
      <w:proofErr w:type="spellEnd"/>
      <w:r w:rsidRPr="0017403A">
        <w:rPr>
          <w:rFonts w:ascii="Times New Roman" w:hAnsi="Times New Roman" w:cs="Times New Roman"/>
          <w:lang w:val="en-US"/>
        </w:rPr>
        <w:t xml:space="preserve">, Lubeck, Germany) assays. Antibodies to cell-surface antigens (NMDA, LGI1, Caspr2, AMPA, </w:t>
      </w:r>
      <w:proofErr w:type="spellStart"/>
      <w:r w:rsidRPr="0017403A">
        <w:rPr>
          <w:rFonts w:ascii="Times New Roman" w:hAnsi="Times New Roman" w:cs="Times New Roman"/>
          <w:lang w:val="en-US"/>
        </w:rPr>
        <w:t>GABAb</w:t>
      </w:r>
      <w:proofErr w:type="spellEnd"/>
      <w:r w:rsidRPr="0017403A">
        <w:rPr>
          <w:rFonts w:ascii="Times New Roman" w:hAnsi="Times New Roman" w:cs="Times New Roman"/>
          <w:lang w:val="en-US"/>
        </w:rPr>
        <w:t>) were tested using commercial cell-based assays (</w:t>
      </w:r>
      <w:proofErr w:type="spellStart"/>
      <w:r w:rsidRPr="0017403A">
        <w:rPr>
          <w:rFonts w:ascii="Times New Roman" w:hAnsi="Times New Roman" w:cs="Times New Roman"/>
          <w:lang w:val="en-US"/>
        </w:rPr>
        <w:t>Euroimmun</w:t>
      </w:r>
      <w:proofErr w:type="spellEnd"/>
      <w:r w:rsidRPr="0017403A">
        <w:rPr>
          <w:rFonts w:ascii="Times New Roman" w:hAnsi="Times New Roman" w:cs="Times New Roman"/>
          <w:lang w:val="en-US"/>
        </w:rPr>
        <w:t>, Lubeck, Germany). Three patients (patient #1, patient #4, patient #7) underwent additional testing using in-house assays because of the evidence of atypical staining on commercial kits for IHC.</w:t>
      </w:r>
    </w:p>
    <w:sectPr w:rsidR="005C6F8C" w:rsidRPr="00174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3A"/>
    <w:rsid w:val="0017403A"/>
    <w:rsid w:val="005A39B1"/>
    <w:rsid w:val="005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60D0"/>
  <w15:chartTrackingRefBased/>
  <w15:docId w15:val="{8F6101C3-2A2F-43BD-802B-29EB1490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03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3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9B1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Picca</dc:creator>
  <cp:keywords/>
  <dc:description/>
  <cp:lastModifiedBy>PSIMARAS Dimitri</cp:lastModifiedBy>
  <cp:revision>2</cp:revision>
  <dcterms:created xsi:type="dcterms:W3CDTF">2020-11-21T16:02:00Z</dcterms:created>
  <dcterms:modified xsi:type="dcterms:W3CDTF">2020-11-25T17:20:00Z</dcterms:modified>
</cp:coreProperties>
</file>