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40C7" w:rsidRDefault="006B40C7" w:rsidP="006B40C7">
      <w:pPr>
        <w:spacing w:line="480" w:lineRule="auto"/>
        <w:jc w:val="both"/>
        <w:rPr>
          <w:lang w:val="en-US"/>
        </w:rPr>
      </w:pPr>
      <w:r>
        <w:rPr>
          <w:lang w:val="en-US"/>
        </w:rPr>
        <w:t>Supplement 1. Detailed information on HPLC - MS/MS analysis.</w:t>
      </w:r>
    </w:p>
    <w:p w:rsidR="006B40C7" w:rsidRDefault="006B40C7" w:rsidP="006B40C7">
      <w:pPr>
        <w:spacing w:line="480" w:lineRule="auto"/>
        <w:jc w:val="both"/>
        <w:rPr>
          <w:lang w:val="en-US"/>
        </w:rPr>
      </w:pPr>
      <w:r>
        <w:rPr>
          <w:lang w:val="en-US"/>
        </w:rPr>
        <w:t xml:space="preserve">Table 1. </w:t>
      </w:r>
      <w:r w:rsidRPr="00FF21C0">
        <w:rPr>
          <w:lang w:val="en-US"/>
        </w:rPr>
        <w:t>- Individually tuned MRM experiments for all analyses of interest</w:t>
      </w:r>
      <w:r>
        <w:rPr>
          <w:lang w:val="en-US"/>
        </w:rPr>
        <w:t>.</w:t>
      </w:r>
    </w:p>
    <w:tbl>
      <w:tblPr>
        <w:tblStyle w:val="Tabellenraster"/>
        <w:tblW w:w="9443" w:type="dxa"/>
        <w:tblLook w:val="04A0" w:firstRow="1" w:lastRow="0" w:firstColumn="1" w:lastColumn="0" w:noHBand="0" w:noVBand="1"/>
      </w:tblPr>
      <w:tblGrid>
        <w:gridCol w:w="1170"/>
        <w:gridCol w:w="1793"/>
        <w:gridCol w:w="1928"/>
        <w:gridCol w:w="1616"/>
        <w:gridCol w:w="1617"/>
        <w:gridCol w:w="1319"/>
      </w:tblGrid>
      <w:tr w:rsidR="006B40C7" w:rsidRPr="005154BB" w:rsidTr="007C0552">
        <w:trPr>
          <w:trHeight w:val="742"/>
        </w:trPr>
        <w:tc>
          <w:tcPr>
            <w:tcW w:w="1104" w:type="dxa"/>
          </w:tcPr>
          <w:p w:rsidR="006B40C7" w:rsidRPr="005154BB" w:rsidRDefault="006B40C7" w:rsidP="007C0552">
            <w:pPr>
              <w:rPr>
                <w:b/>
                <w:lang w:val="en-US"/>
              </w:rPr>
            </w:pPr>
            <w:r w:rsidRPr="005154BB">
              <w:rPr>
                <w:b/>
                <w:lang w:val="en-US"/>
              </w:rPr>
              <w:t>Substance</w:t>
            </w:r>
          </w:p>
        </w:tc>
        <w:tc>
          <w:tcPr>
            <w:tcW w:w="1808" w:type="dxa"/>
          </w:tcPr>
          <w:p w:rsidR="006B40C7" w:rsidRPr="005154BB" w:rsidRDefault="006B40C7" w:rsidP="007C0552">
            <w:pPr>
              <w:rPr>
                <w:b/>
                <w:lang w:val="en-US"/>
              </w:rPr>
            </w:pPr>
            <w:r w:rsidRPr="005154BB">
              <w:rPr>
                <w:b/>
                <w:lang w:val="en-US"/>
              </w:rPr>
              <w:t>Protonated Precursor (parent) ion [M+</w:t>
            </w:r>
            <w:proofErr w:type="gramStart"/>
            <w:r w:rsidRPr="005154BB">
              <w:rPr>
                <w:b/>
                <w:lang w:val="en-US"/>
              </w:rPr>
              <w:t>H]</w:t>
            </w:r>
            <w:r w:rsidRPr="005154BB">
              <w:rPr>
                <w:b/>
                <w:vertAlign w:val="superscript"/>
                <w:lang w:val="en-US"/>
              </w:rPr>
              <w:t>+</w:t>
            </w:r>
            <w:proofErr w:type="gramEnd"/>
            <w:r w:rsidRPr="005154BB">
              <w:rPr>
                <w:b/>
                <w:lang w:val="en-US"/>
              </w:rPr>
              <w:t xml:space="preserve"> [</w:t>
            </w:r>
            <w:r w:rsidRPr="005154BB">
              <w:rPr>
                <w:b/>
                <w:i/>
                <w:lang w:val="en-US"/>
              </w:rPr>
              <w:t>m/z</w:t>
            </w:r>
            <w:r w:rsidRPr="005154BB">
              <w:rPr>
                <w:b/>
                <w:lang w:val="en-US"/>
              </w:rPr>
              <w:t>]</w:t>
            </w:r>
          </w:p>
        </w:tc>
        <w:tc>
          <w:tcPr>
            <w:tcW w:w="1946" w:type="dxa"/>
          </w:tcPr>
          <w:p w:rsidR="006B40C7" w:rsidRPr="005154BB" w:rsidRDefault="006B40C7" w:rsidP="007C0552">
            <w:pPr>
              <w:rPr>
                <w:b/>
                <w:lang w:val="en-US"/>
              </w:rPr>
            </w:pPr>
            <w:r>
              <w:rPr>
                <w:b/>
                <w:lang w:val="en-US"/>
              </w:rPr>
              <w:t>Protonated P</w:t>
            </w:r>
            <w:r w:rsidRPr="005154BB">
              <w:rPr>
                <w:b/>
                <w:lang w:val="en-US"/>
              </w:rPr>
              <w:t>roduct (daughter) ion [</w:t>
            </w:r>
            <w:r w:rsidRPr="005154BB">
              <w:rPr>
                <w:b/>
                <w:i/>
                <w:lang w:val="en-US"/>
              </w:rPr>
              <w:t>m/z</w:t>
            </w:r>
            <w:r w:rsidRPr="005154BB">
              <w:rPr>
                <w:b/>
                <w:lang w:val="en-US"/>
              </w:rPr>
              <w:t>]</w:t>
            </w:r>
          </w:p>
        </w:tc>
        <w:tc>
          <w:tcPr>
            <w:tcW w:w="1631" w:type="dxa"/>
          </w:tcPr>
          <w:p w:rsidR="006B40C7" w:rsidRPr="005154BB" w:rsidRDefault="006B40C7" w:rsidP="007C0552">
            <w:pPr>
              <w:rPr>
                <w:b/>
                <w:lang w:val="en-US"/>
              </w:rPr>
            </w:pPr>
            <w:r>
              <w:rPr>
                <w:b/>
                <w:lang w:val="en-US"/>
              </w:rPr>
              <w:t>Collision Energy [eV] / Cone Voltage [V]</w:t>
            </w:r>
          </w:p>
        </w:tc>
        <w:tc>
          <w:tcPr>
            <w:tcW w:w="1631" w:type="dxa"/>
          </w:tcPr>
          <w:p w:rsidR="006B40C7" w:rsidRPr="005154BB" w:rsidRDefault="006B40C7" w:rsidP="007C0552">
            <w:pPr>
              <w:rPr>
                <w:b/>
                <w:lang w:val="en-US"/>
              </w:rPr>
            </w:pPr>
            <w:r>
              <w:rPr>
                <w:b/>
                <w:lang w:val="en-US"/>
              </w:rPr>
              <w:t xml:space="preserve">MRM triggered during runtime </w:t>
            </w:r>
            <w:r w:rsidRPr="005154BB">
              <w:rPr>
                <w:b/>
                <w:lang w:val="en-US"/>
              </w:rPr>
              <w:t>[min]</w:t>
            </w:r>
          </w:p>
        </w:tc>
        <w:tc>
          <w:tcPr>
            <w:tcW w:w="1323" w:type="dxa"/>
          </w:tcPr>
          <w:p w:rsidR="006B40C7" w:rsidRPr="005154BB" w:rsidRDefault="006B40C7" w:rsidP="007C0552">
            <w:pPr>
              <w:rPr>
                <w:b/>
                <w:lang w:val="en-US"/>
              </w:rPr>
            </w:pPr>
            <w:r>
              <w:rPr>
                <w:b/>
                <w:lang w:val="en-US"/>
              </w:rPr>
              <w:t>Function</w:t>
            </w:r>
          </w:p>
        </w:tc>
      </w:tr>
      <w:tr w:rsidR="006B40C7" w:rsidTr="007C0552">
        <w:trPr>
          <w:trHeight w:val="252"/>
        </w:trPr>
        <w:tc>
          <w:tcPr>
            <w:tcW w:w="1104" w:type="dxa"/>
            <w:vMerge w:val="restart"/>
            <w:vAlign w:val="center"/>
          </w:tcPr>
          <w:p w:rsidR="006B40C7" w:rsidRPr="005154BB" w:rsidRDefault="006B40C7" w:rsidP="007C0552">
            <w:pPr>
              <w:rPr>
                <w:b/>
                <w:lang w:val="en-US"/>
              </w:rPr>
            </w:pPr>
            <w:r w:rsidRPr="005154BB">
              <w:rPr>
                <w:b/>
                <w:lang w:val="en-US"/>
              </w:rPr>
              <w:t>TRP</w:t>
            </w:r>
          </w:p>
        </w:tc>
        <w:tc>
          <w:tcPr>
            <w:tcW w:w="1808" w:type="dxa"/>
            <w:vMerge w:val="restart"/>
            <w:vAlign w:val="center"/>
          </w:tcPr>
          <w:p w:rsidR="006B40C7" w:rsidRDefault="006B40C7" w:rsidP="007C0552">
            <w:pPr>
              <w:rPr>
                <w:lang w:val="en-US"/>
              </w:rPr>
            </w:pPr>
            <w:r>
              <w:rPr>
                <w:lang w:val="en-US"/>
              </w:rPr>
              <w:t>205</w:t>
            </w:r>
          </w:p>
        </w:tc>
        <w:tc>
          <w:tcPr>
            <w:tcW w:w="1946" w:type="dxa"/>
            <w:vAlign w:val="center"/>
          </w:tcPr>
          <w:p w:rsidR="006B40C7" w:rsidRDefault="006B40C7" w:rsidP="007C0552">
            <w:pPr>
              <w:rPr>
                <w:lang w:val="en-US"/>
              </w:rPr>
            </w:pPr>
            <w:r>
              <w:rPr>
                <w:lang w:val="en-US"/>
              </w:rPr>
              <w:t>146</w:t>
            </w:r>
          </w:p>
        </w:tc>
        <w:tc>
          <w:tcPr>
            <w:tcW w:w="1631" w:type="dxa"/>
          </w:tcPr>
          <w:p w:rsidR="006B40C7" w:rsidRPr="005154BB" w:rsidRDefault="006B40C7" w:rsidP="007C0552">
            <w:pPr>
              <w:rPr>
                <w:lang w:val="en-US"/>
              </w:rPr>
            </w:pPr>
            <w:r>
              <w:rPr>
                <w:lang w:val="en-US"/>
              </w:rPr>
              <w:t>18 / 30</w:t>
            </w:r>
          </w:p>
        </w:tc>
        <w:tc>
          <w:tcPr>
            <w:tcW w:w="1631" w:type="dxa"/>
            <w:vAlign w:val="center"/>
          </w:tcPr>
          <w:p w:rsidR="006B40C7" w:rsidRPr="005154BB" w:rsidRDefault="006B40C7" w:rsidP="006B40C7">
            <w:pPr>
              <w:pStyle w:val="Listenabsatz"/>
              <w:numPr>
                <w:ilvl w:val="0"/>
                <w:numId w:val="2"/>
              </w:numPr>
              <w:rPr>
                <w:lang w:val="en-US"/>
              </w:rPr>
            </w:pPr>
            <w:r w:rsidRPr="005154BB">
              <w:rPr>
                <w:lang w:val="en-US"/>
              </w:rPr>
              <w:t>- 1.5</w:t>
            </w:r>
          </w:p>
        </w:tc>
        <w:tc>
          <w:tcPr>
            <w:tcW w:w="1323" w:type="dxa"/>
            <w:vAlign w:val="center"/>
          </w:tcPr>
          <w:p w:rsidR="006B40C7" w:rsidRDefault="006B40C7" w:rsidP="007C0552">
            <w:pPr>
              <w:rPr>
                <w:lang w:val="en-US"/>
              </w:rPr>
            </w:pPr>
            <w:proofErr w:type="spellStart"/>
            <w:r>
              <w:rPr>
                <w:lang w:val="en-US"/>
              </w:rPr>
              <w:t>Quantifyer</w:t>
            </w:r>
            <w:proofErr w:type="spellEnd"/>
          </w:p>
        </w:tc>
      </w:tr>
      <w:tr w:rsidR="006B40C7" w:rsidTr="007C0552">
        <w:trPr>
          <w:trHeight w:val="252"/>
        </w:trPr>
        <w:tc>
          <w:tcPr>
            <w:tcW w:w="1104" w:type="dxa"/>
            <w:vMerge/>
            <w:vAlign w:val="center"/>
          </w:tcPr>
          <w:p w:rsidR="006B40C7" w:rsidRPr="005154BB" w:rsidRDefault="006B40C7" w:rsidP="007C0552">
            <w:pPr>
              <w:rPr>
                <w:b/>
                <w:lang w:val="en-US"/>
              </w:rPr>
            </w:pPr>
          </w:p>
        </w:tc>
        <w:tc>
          <w:tcPr>
            <w:tcW w:w="1808" w:type="dxa"/>
            <w:vMerge/>
            <w:vAlign w:val="center"/>
          </w:tcPr>
          <w:p w:rsidR="006B40C7" w:rsidRDefault="006B40C7" w:rsidP="007C0552">
            <w:pPr>
              <w:rPr>
                <w:lang w:val="en-US"/>
              </w:rPr>
            </w:pPr>
          </w:p>
        </w:tc>
        <w:tc>
          <w:tcPr>
            <w:tcW w:w="1946" w:type="dxa"/>
            <w:vAlign w:val="center"/>
          </w:tcPr>
          <w:p w:rsidR="006B40C7" w:rsidRDefault="006B40C7" w:rsidP="007C0552">
            <w:pPr>
              <w:rPr>
                <w:lang w:val="en-US"/>
              </w:rPr>
            </w:pPr>
            <w:r>
              <w:rPr>
                <w:lang w:val="en-US"/>
              </w:rPr>
              <w:t>188</w:t>
            </w:r>
          </w:p>
        </w:tc>
        <w:tc>
          <w:tcPr>
            <w:tcW w:w="1631" w:type="dxa"/>
          </w:tcPr>
          <w:p w:rsidR="006B40C7" w:rsidRDefault="006B40C7" w:rsidP="007C0552">
            <w:pPr>
              <w:rPr>
                <w:lang w:val="en-US"/>
              </w:rPr>
            </w:pPr>
            <w:r>
              <w:rPr>
                <w:lang w:val="en-US"/>
              </w:rPr>
              <w:t>10 / 30</w:t>
            </w:r>
          </w:p>
        </w:tc>
        <w:tc>
          <w:tcPr>
            <w:tcW w:w="1631" w:type="dxa"/>
            <w:vAlign w:val="center"/>
          </w:tcPr>
          <w:p w:rsidR="006B40C7" w:rsidRDefault="006B40C7" w:rsidP="007C0552">
            <w:pPr>
              <w:rPr>
                <w:lang w:val="en-US"/>
              </w:rPr>
            </w:pPr>
          </w:p>
        </w:tc>
        <w:tc>
          <w:tcPr>
            <w:tcW w:w="1323" w:type="dxa"/>
            <w:vAlign w:val="center"/>
          </w:tcPr>
          <w:p w:rsidR="006B40C7" w:rsidRDefault="006B40C7" w:rsidP="007C0552">
            <w:pPr>
              <w:rPr>
                <w:lang w:val="en-US"/>
              </w:rPr>
            </w:pPr>
            <w:proofErr w:type="spellStart"/>
            <w:r>
              <w:rPr>
                <w:lang w:val="en-US"/>
              </w:rPr>
              <w:t>Qualifyer</w:t>
            </w:r>
            <w:proofErr w:type="spellEnd"/>
          </w:p>
        </w:tc>
      </w:tr>
      <w:tr w:rsidR="006B40C7" w:rsidTr="007C0552">
        <w:trPr>
          <w:trHeight w:val="252"/>
        </w:trPr>
        <w:tc>
          <w:tcPr>
            <w:tcW w:w="1104" w:type="dxa"/>
            <w:vMerge w:val="restart"/>
            <w:vAlign w:val="center"/>
          </w:tcPr>
          <w:p w:rsidR="006B40C7" w:rsidRPr="005154BB" w:rsidRDefault="006B40C7" w:rsidP="007C0552">
            <w:pPr>
              <w:rPr>
                <w:b/>
                <w:lang w:val="en-US"/>
              </w:rPr>
            </w:pPr>
            <w:r w:rsidRPr="005154BB">
              <w:rPr>
                <w:b/>
                <w:lang w:val="en-US"/>
              </w:rPr>
              <w:t>KYN</w:t>
            </w:r>
          </w:p>
        </w:tc>
        <w:tc>
          <w:tcPr>
            <w:tcW w:w="1808" w:type="dxa"/>
            <w:vMerge w:val="restart"/>
            <w:vAlign w:val="center"/>
          </w:tcPr>
          <w:p w:rsidR="006B40C7" w:rsidRDefault="006B40C7" w:rsidP="007C0552">
            <w:pPr>
              <w:rPr>
                <w:lang w:val="en-US"/>
              </w:rPr>
            </w:pPr>
            <w:r>
              <w:rPr>
                <w:lang w:val="en-US"/>
              </w:rPr>
              <w:t>209</w:t>
            </w:r>
          </w:p>
        </w:tc>
        <w:tc>
          <w:tcPr>
            <w:tcW w:w="1946" w:type="dxa"/>
            <w:vAlign w:val="center"/>
          </w:tcPr>
          <w:p w:rsidR="006B40C7" w:rsidRDefault="006B40C7" w:rsidP="007C0552">
            <w:pPr>
              <w:rPr>
                <w:lang w:val="en-US"/>
              </w:rPr>
            </w:pPr>
            <w:r>
              <w:rPr>
                <w:lang w:val="en-US"/>
              </w:rPr>
              <w:t>94</w:t>
            </w:r>
          </w:p>
        </w:tc>
        <w:tc>
          <w:tcPr>
            <w:tcW w:w="1631" w:type="dxa"/>
          </w:tcPr>
          <w:p w:rsidR="006B40C7" w:rsidRDefault="006B40C7" w:rsidP="007C0552">
            <w:pPr>
              <w:rPr>
                <w:lang w:val="en-US"/>
              </w:rPr>
            </w:pPr>
            <w:r>
              <w:rPr>
                <w:lang w:val="en-US"/>
              </w:rPr>
              <w:t>12 / 18</w:t>
            </w:r>
          </w:p>
        </w:tc>
        <w:tc>
          <w:tcPr>
            <w:tcW w:w="1631" w:type="dxa"/>
            <w:vAlign w:val="center"/>
          </w:tcPr>
          <w:p w:rsidR="006B40C7" w:rsidRDefault="006B40C7" w:rsidP="007C0552">
            <w:pPr>
              <w:rPr>
                <w:lang w:val="en-US"/>
              </w:rPr>
            </w:pPr>
            <w:r>
              <w:rPr>
                <w:lang w:val="en-US"/>
              </w:rPr>
              <w:t>1.5 - 5.0</w:t>
            </w:r>
          </w:p>
        </w:tc>
        <w:tc>
          <w:tcPr>
            <w:tcW w:w="1323" w:type="dxa"/>
            <w:vAlign w:val="center"/>
          </w:tcPr>
          <w:p w:rsidR="006B40C7" w:rsidRDefault="006B40C7" w:rsidP="007C0552">
            <w:pPr>
              <w:rPr>
                <w:lang w:val="en-US"/>
              </w:rPr>
            </w:pPr>
            <w:proofErr w:type="spellStart"/>
            <w:r>
              <w:rPr>
                <w:lang w:val="en-US"/>
              </w:rPr>
              <w:t>Quantifyer</w:t>
            </w:r>
            <w:proofErr w:type="spellEnd"/>
          </w:p>
        </w:tc>
      </w:tr>
      <w:tr w:rsidR="006B40C7" w:rsidTr="007C0552">
        <w:trPr>
          <w:trHeight w:val="252"/>
        </w:trPr>
        <w:tc>
          <w:tcPr>
            <w:tcW w:w="1104" w:type="dxa"/>
            <w:vMerge/>
            <w:vAlign w:val="center"/>
          </w:tcPr>
          <w:p w:rsidR="006B40C7" w:rsidRPr="005154BB" w:rsidRDefault="006B40C7" w:rsidP="007C0552">
            <w:pPr>
              <w:rPr>
                <w:b/>
                <w:lang w:val="en-US"/>
              </w:rPr>
            </w:pPr>
          </w:p>
        </w:tc>
        <w:tc>
          <w:tcPr>
            <w:tcW w:w="1808" w:type="dxa"/>
            <w:vMerge/>
            <w:vAlign w:val="center"/>
          </w:tcPr>
          <w:p w:rsidR="006B40C7" w:rsidRDefault="006B40C7" w:rsidP="007C0552">
            <w:pPr>
              <w:rPr>
                <w:lang w:val="en-US"/>
              </w:rPr>
            </w:pPr>
          </w:p>
        </w:tc>
        <w:tc>
          <w:tcPr>
            <w:tcW w:w="1946" w:type="dxa"/>
            <w:vAlign w:val="center"/>
          </w:tcPr>
          <w:p w:rsidR="006B40C7" w:rsidRDefault="006B40C7" w:rsidP="007C0552">
            <w:pPr>
              <w:rPr>
                <w:lang w:val="en-US"/>
              </w:rPr>
            </w:pPr>
            <w:r>
              <w:rPr>
                <w:lang w:val="en-US"/>
              </w:rPr>
              <w:t>192</w:t>
            </w:r>
          </w:p>
        </w:tc>
        <w:tc>
          <w:tcPr>
            <w:tcW w:w="1631" w:type="dxa"/>
          </w:tcPr>
          <w:p w:rsidR="006B40C7" w:rsidRDefault="006B40C7" w:rsidP="007C0552">
            <w:pPr>
              <w:rPr>
                <w:lang w:val="en-US"/>
              </w:rPr>
            </w:pPr>
            <w:r>
              <w:rPr>
                <w:lang w:val="en-US"/>
              </w:rPr>
              <w:t>6 / 18</w:t>
            </w:r>
          </w:p>
        </w:tc>
        <w:tc>
          <w:tcPr>
            <w:tcW w:w="1631" w:type="dxa"/>
            <w:vAlign w:val="center"/>
          </w:tcPr>
          <w:p w:rsidR="006B40C7" w:rsidRDefault="006B40C7" w:rsidP="007C0552">
            <w:pPr>
              <w:rPr>
                <w:lang w:val="en-US"/>
              </w:rPr>
            </w:pPr>
          </w:p>
        </w:tc>
        <w:tc>
          <w:tcPr>
            <w:tcW w:w="1323" w:type="dxa"/>
            <w:vAlign w:val="center"/>
          </w:tcPr>
          <w:p w:rsidR="006B40C7" w:rsidRDefault="006B40C7" w:rsidP="007C0552">
            <w:pPr>
              <w:rPr>
                <w:lang w:val="en-US"/>
              </w:rPr>
            </w:pPr>
            <w:proofErr w:type="spellStart"/>
            <w:r>
              <w:rPr>
                <w:lang w:val="en-US"/>
              </w:rPr>
              <w:t>Qualifyer</w:t>
            </w:r>
            <w:proofErr w:type="spellEnd"/>
          </w:p>
        </w:tc>
      </w:tr>
      <w:tr w:rsidR="006B40C7" w:rsidTr="007C0552">
        <w:trPr>
          <w:trHeight w:val="252"/>
        </w:trPr>
        <w:tc>
          <w:tcPr>
            <w:tcW w:w="1104" w:type="dxa"/>
            <w:vMerge w:val="restart"/>
            <w:vAlign w:val="center"/>
          </w:tcPr>
          <w:p w:rsidR="006B40C7" w:rsidRPr="005154BB" w:rsidRDefault="006B40C7" w:rsidP="007C0552">
            <w:pPr>
              <w:rPr>
                <w:b/>
                <w:lang w:val="en-US"/>
              </w:rPr>
            </w:pPr>
            <w:r w:rsidRPr="005154BB">
              <w:rPr>
                <w:b/>
                <w:lang w:val="en-US"/>
              </w:rPr>
              <w:t>QA</w:t>
            </w:r>
          </w:p>
        </w:tc>
        <w:tc>
          <w:tcPr>
            <w:tcW w:w="1808" w:type="dxa"/>
            <w:vMerge w:val="restart"/>
            <w:vAlign w:val="center"/>
          </w:tcPr>
          <w:p w:rsidR="006B40C7" w:rsidRDefault="006B40C7" w:rsidP="007C0552">
            <w:pPr>
              <w:rPr>
                <w:lang w:val="en-US"/>
              </w:rPr>
            </w:pPr>
            <w:r>
              <w:rPr>
                <w:lang w:val="en-US"/>
              </w:rPr>
              <w:t>168</w:t>
            </w:r>
          </w:p>
        </w:tc>
        <w:tc>
          <w:tcPr>
            <w:tcW w:w="1946" w:type="dxa"/>
            <w:vAlign w:val="center"/>
          </w:tcPr>
          <w:p w:rsidR="006B40C7" w:rsidRDefault="006B40C7" w:rsidP="007C0552">
            <w:pPr>
              <w:rPr>
                <w:lang w:val="en-US"/>
              </w:rPr>
            </w:pPr>
            <w:r>
              <w:rPr>
                <w:lang w:val="en-US"/>
              </w:rPr>
              <w:t>78</w:t>
            </w:r>
          </w:p>
        </w:tc>
        <w:tc>
          <w:tcPr>
            <w:tcW w:w="1631" w:type="dxa"/>
          </w:tcPr>
          <w:p w:rsidR="006B40C7" w:rsidRDefault="006B40C7" w:rsidP="007C0552">
            <w:pPr>
              <w:rPr>
                <w:lang w:val="en-US"/>
              </w:rPr>
            </w:pPr>
            <w:r>
              <w:rPr>
                <w:lang w:val="en-US"/>
              </w:rPr>
              <w:t>16 / 26</w:t>
            </w:r>
          </w:p>
        </w:tc>
        <w:tc>
          <w:tcPr>
            <w:tcW w:w="1631" w:type="dxa"/>
            <w:vAlign w:val="center"/>
          </w:tcPr>
          <w:p w:rsidR="006B40C7" w:rsidRDefault="006B40C7" w:rsidP="007C0552">
            <w:pPr>
              <w:rPr>
                <w:lang w:val="en-US"/>
              </w:rPr>
            </w:pPr>
            <w:r>
              <w:rPr>
                <w:lang w:val="en-US"/>
              </w:rPr>
              <w:t>1.0 - 3.0</w:t>
            </w:r>
          </w:p>
        </w:tc>
        <w:tc>
          <w:tcPr>
            <w:tcW w:w="1323" w:type="dxa"/>
            <w:vAlign w:val="center"/>
          </w:tcPr>
          <w:p w:rsidR="006B40C7" w:rsidRDefault="006B40C7" w:rsidP="007C0552">
            <w:pPr>
              <w:rPr>
                <w:lang w:val="en-US"/>
              </w:rPr>
            </w:pPr>
            <w:proofErr w:type="spellStart"/>
            <w:r>
              <w:rPr>
                <w:lang w:val="en-US"/>
              </w:rPr>
              <w:t>Quantifyer</w:t>
            </w:r>
            <w:proofErr w:type="spellEnd"/>
          </w:p>
        </w:tc>
      </w:tr>
      <w:tr w:rsidR="006B40C7" w:rsidTr="007C0552">
        <w:trPr>
          <w:trHeight w:val="252"/>
        </w:trPr>
        <w:tc>
          <w:tcPr>
            <w:tcW w:w="1104" w:type="dxa"/>
            <w:vMerge/>
            <w:vAlign w:val="center"/>
          </w:tcPr>
          <w:p w:rsidR="006B40C7" w:rsidRPr="005154BB" w:rsidRDefault="006B40C7" w:rsidP="007C0552">
            <w:pPr>
              <w:rPr>
                <w:b/>
                <w:lang w:val="en-US"/>
              </w:rPr>
            </w:pPr>
          </w:p>
        </w:tc>
        <w:tc>
          <w:tcPr>
            <w:tcW w:w="1808" w:type="dxa"/>
            <w:vMerge/>
            <w:vAlign w:val="center"/>
          </w:tcPr>
          <w:p w:rsidR="006B40C7" w:rsidRDefault="006B40C7" w:rsidP="007C0552">
            <w:pPr>
              <w:rPr>
                <w:lang w:val="en-US"/>
              </w:rPr>
            </w:pPr>
          </w:p>
        </w:tc>
        <w:tc>
          <w:tcPr>
            <w:tcW w:w="1946" w:type="dxa"/>
            <w:vAlign w:val="center"/>
          </w:tcPr>
          <w:p w:rsidR="006B40C7" w:rsidRDefault="006B40C7" w:rsidP="007C0552">
            <w:pPr>
              <w:rPr>
                <w:lang w:val="en-US"/>
              </w:rPr>
            </w:pPr>
            <w:r>
              <w:rPr>
                <w:lang w:val="en-US"/>
              </w:rPr>
              <w:t>150</w:t>
            </w:r>
          </w:p>
        </w:tc>
        <w:tc>
          <w:tcPr>
            <w:tcW w:w="1631" w:type="dxa"/>
          </w:tcPr>
          <w:p w:rsidR="006B40C7" w:rsidRDefault="006B40C7" w:rsidP="007C0552">
            <w:pPr>
              <w:rPr>
                <w:lang w:val="en-US"/>
              </w:rPr>
            </w:pPr>
            <w:r>
              <w:rPr>
                <w:lang w:val="en-US"/>
              </w:rPr>
              <w:t>8 / 26</w:t>
            </w:r>
          </w:p>
        </w:tc>
        <w:tc>
          <w:tcPr>
            <w:tcW w:w="1631" w:type="dxa"/>
            <w:vAlign w:val="center"/>
          </w:tcPr>
          <w:p w:rsidR="006B40C7" w:rsidRDefault="006B40C7" w:rsidP="007C0552">
            <w:pPr>
              <w:rPr>
                <w:lang w:val="en-US"/>
              </w:rPr>
            </w:pPr>
          </w:p>
        </w:tc>
        <w:tc>
          <w:tcPr>
            <w:tcW w:w="1323" w:type="dxa"/>
            <w:vAlign w:val="center"/>
          </w:tcPr>
          <w:p w:rsidR="006B40C7" w:rsidRDefault="006B40C7" w:rsidP="007C0552">
            <w:pPr>
              <w:rPr>
                <w:lang w:val="en-US"/>
              </w:rPr>
            </w:pPr>
            <w:proofErr w:type="spellStart"/>
            <w:r>
              <w:rPr>
                <w:lang w:val="en-US"/>
              </w:rPr>
              <w:t>Qualifyer</w:t>
            </w:r>
            <w:proofErr w:type="spellEnd"/>
          </w:p>
        </w:tc>
      </w:tr>
      <w:tr w:rsidR="006B40C7" w:rsidTr="007C0552">
        <w:trPr>
          <w:trHeight w:val="252"/>
        </w:trPr>
        <w:tc>
          <w:tcPr>
            <w:tcW w:w="1104" w:type="dxa"/>
            <w:vMerge w:val="restart"/>
            <w:vAlign w:val="center"/>
          </w:tcPr>
          <w:p w:rsidR="006B40C7" w:rsidRPr="005154BB" w:rsidRDefault="006B40C7" w:rsidP="007C0552">
            <w:pPr>
              <w:rPr>
                <w:b/>
                <w:lang w:val="en-US"/>
              </w:rPr>
            </w:pPr>
            <w:r w:rsidRPr="005154BB">
              <w:rPr>
                <w:b/>
                <w:lang w:val="en-US"/>
              </w:rPr>
              <w:t>KA</w:t>
            </w:r>
          </w:p>
        </w:tc>
        <w:tc>
          <w:tcPr>
            <w:tcW w:w="1808" w:type="dxa"/>
            <w:vMerge w:val="restart"/>
            <w:vAlign w:val="center"/>
          </w:tcPr>
          <w:p w:rsidR="006B40C7" w:rsidRDefault="006B40C7" w:rsidP="007C0552">
            <w:pPr>
              <w:rPr>
                <w:lang w:val="en-US"/>
              </w:rPr>
            </w:pPr>
            <w:r>
              <w:rPr>
                <w:lang w:val="en-US"/>
              </w:rPr>
              <w:t>190</w:t>
            </w:r>
          </w:p>
        </w:tc>
        <w:tc>
          <w:tcPr>
            <w:tcW w:w="1946" w:type="dxa"/>
            <w:vAlign w:val="center"/>
          </w:tcPr>
          <w:p w:rsidR="006B40C7" w:rsidRDefault="006B40C7" w:rsidP="007C0552">
            <w:pPr>
              <w:rPr>
                <w:lang w:val="en-US"/>
              </w:rPr>
            </w:pPr>
            <w:r>
              <w:rPr>
                <w:lang w:val="en-US"/>
              </w:rPr>
              <w:t>144</w:t>
            </w:r>
          </w:p>
        </w:tc>
        <w:tc>
          <w:tcPr>
            <w:tcW w:w="1631" w:type="dxa"/>
          </w:tcPr>
          <w:p w:rsidR="006B40C7" w:rsidRDefault="006B40C7" w:rsidP="007C0552">
            <w:pPr>
              <w:rPr>
                <w:lang w:val="en-US"/>
              </w:rPr>
            </w:pPr>
            <w:r>
              <w:rPr>
                <w:lang w:val="en-US"/>
              </w:rPr>
              <w:t>14 / 26</w:t>
            </w:r>
          </w:p>
        </w:tc>
        <w:tc>
          <w:tcPr>
            <w:tcW w:w="1631" w:type="dxa"/>
            <w:vAlign w:val="center"/>
          </w:tcPr>
          <w:p w:rsidR="006B40C7" w:rsidRDefault="006B40C7" w:rsidP="007C0552">
            <w:pPr>
              <w:rPr>
                <w:lang w:val="en-US"/>
              </w:rPr>
            </w:pPr>
            <w:r>
              <w:rPr>
                <w:lang w:val="en-US"/>
              </w:rPr>
              <w:t>1.5 - 5.0</w:t>
            </w:r>
          </w:p>
        </w:tc>
        <w:tc>
          <w:tcPr>
            <w:tcW w:w="1323" w:type="dxa"/>
            <w:vAlign w:val="center"/>
          </w:tcPr>
          <w:p w:rsidR="006B40C7" w:rsidRDefault="006B40C7" w:rsidP="007C0552">
            <w:pPr>
              <w:rPr>
                <w:lang w:val="en-US"/>
              </w:rPr>
            </w:pPr>
            <w:proofErr w:type="spellStart"/>
            <w:r>
              <w:rPr>
                <w:lang w:val="en-US"/>
              </w:rPr>
              <w:t>Quantifyer</w:t>
            </w:r>
            <w:proofErr w:type="spellEnd"/>
          </w:p>
        </w:tc>
      </w:tr>
      <w:tr w:rsidR="006B40C7" w:rsidTr="007C0552">
        <w:trPr>
          <w:trHeight w:val="265"/>
        </w:trPr>
        <w:tc>
          <w:tcPr>
            <w:tcW w:w="1104" w:type="dxa"/>
            <w:vMerge/>
            <w:vAlign w:val="center"/>
          </w:tcPr>
          <w:p w:rsidR="006B40C7" w:rsidRPr="005154BB" w:rsidRDefault="006B40C7" w:rsidP="007C0552">
            <w:pPr>
              <w:rPr>
                <w:b/>
                <w:lang w:val="en-US"/>
              </w:rPr>
            </w:pPr>
          </w:p>
        </w:tc>
        <w:tc>
          <w:tcPr>
            <w:tcW w:w="1808" w:type="dxa"/>
            <w:vMerge/>
            <w:vAlign w:val="center"/>
          </w:tcPr>
          <w:p w:rsidR="006B40C7" w:rsidRDefault="006B40C7" w:rsidP="007C0552">
            <w:pPr>
              <w:rPr>
                <w:lang w:val="en-US"/>
              </w:rPr>
            </w:pPr>
          </w:p>
        </w:tc>
        <w:tc>
          <w:tcPr>
            <w:tcW w:w="1946" w:type="dxa"/>
            <w:vAlign w:val="center"/>
          </w:tcPr>
          <w:p w:rsidR="006B40C7" w:rsidRDefault="006B40C7" w:rsidP="007C0552">
            <w:pPr>
              <w:rPr>
                <w:lang w:val="en-US"/>
              </w:rPr>
            </w:pPr>
            <w:r>
              <w:rPr>
                <w:lang w:val="en-US"/>
              </w:rPr>
              <w:t>172</w:t>
            </w:r>
          </w:p>
        </w:tc>
        <w:tc>
          <w:tcPr>
            <w:tcW w:w="1631" w:type="dxa"/>
          </w:tcPr>
          <w:p w:rsidR="006B40C7" w:rsidRDefault="006B40C7" w:rsidP="007C0552">
            <w:pPr>
              <w:rPr>
                <w:lang w:val="en-US"/>
              </w:rPr>
            </w:pPr>
            <w:r>
              <w:rPr>
                <w:lang w:val="en-US"/>
              </w:rPr>
              <w:t>10 / 26</w:t>
            </w:r>
          </w:p>
        </w:tc>
        <w:tc>
          <w:tcPr>
            <w:tcW w:w="1631" w:type="dxa"/>
            <w:vAlign w:val="center"/>
          </w:tcPr>
          <w:p w:rsidR="006B40C7" w:rsidRDefault="006B40C7" w:rsidP="007C0552">
            <w:pPr>
              <w:rPr>
                <w:lang w:val="en-US"/>
              </w:rPr>
            </w:pPr>
          </w:p>
        </w:tc>
        <w:tc>
          <w:tcPr>
            <w:tcW w:w="1323" w:type="dxa"/>
            <w:vAlign w:val="center"/>
          </w:tcPr>
          <w:p w:rsidR="006B40C7" w:rsidRDefault="006B40C7" w:rsidP="007C0552">
            <w:pPr>
              <w:rPr>
                <w:lang w:val="en-US"/>
              </w:rPr>
            </w:pPr>
            <w:proofErr w:type="spellStart"/>
            <w:r>
              <w:rPr>
                <w:lang w:val="en-US"/>
              </w:rPr>
              <w:t>Qualifyer</w:t>
            </w:r>
            <w:proofErr w:type="spellEnd"/>
          </w:p>
        </w:tc>
      </w:tr>
      <w:tr w:rsidR="006B40C7" w:rsidRPr="005154BB" w:rsidTr="007C0552">
        <w:trPr>
          <w:trHeight w:val="239"/>
        </w:trPr>
        <w:tc>
          <w:tcPr>
            <w:tcW w:w="1104" w:type="dxa"/>
            <w:vAlign w:val="center"/>
          </w:tcPr>
          <w:p w:rsidR="006B40C7" w:rsidRPr="005154BB" w:rsidRDefault="006B40C7" w:rsidP="007C0552">
            <w:pPr>
              <w:rPr>
                <w:b/>
                <w:lang w:val="en-US"/>
              </w:rPr>
            </w:pPr>
            <w:r w:rsidRPr="005154BB">
              <w:rPr>
                <w:b/>
                <w:lang w:val="en-US"/>
              </w:rPr>
              <w:t>TRP-</w:t>
            </w:r>
            <w:r>
              <w:rPr>
                <w:b/>
                <w:lang w:val="en-US"/>
              </w:rPr>
              <w:t>d</w:t>
            </w:r>
            <w:r w:rsidRPr="005154BB">
              <w:rPr>
                <w:b/>
                <w:lang w:val="en-US"/>
              </w:rPr>
              <w:t>5</w:t>
            </w:r>
          </w:p>
        </w:tc>
        <w:tc>
          <w:tcPr>
            <w:tcW w:w="1808" w:type="dxa"/>
            <w:vAlign w:val="center"/>
          </w:tcPr>
          <w:p w:rsidR="006B40C7" w:rsidRDefault="006B40C7" w:rsidP="007C0552">
            <w:pPr>
              <w:rPr>
                <w:lang w:val="en-US"/>
              </w:rPr>
            </w:pPr>
            <w:r>
              <w:rPr>
                <w:lang w:val="en-US"/>
              </w:rPr>
              <w:t>210</w:t>
            </w:r>
          </w:p>
        </w:tc>
        <w:tc>
          <w:tcPr>
            <w:tcW w:w="1946" w:type="dxa"/>
            <w:vAlign w:val="center"/>
          </w:tcPr>
          <w:p w:rsidR="006B40C7" w:rsidRDefault="006B40C7" w:rsidP="007C0552">
            <w:pPr>
              <w:rPr>
                <w:lang w:val="en-US"/>
              </w:rPr>
            </w:pPr>
            <w:r>
              <w:rPr>
                <w:lang w:val="en-US"/>
              </w:rPr>
              <w:t>150</w:t>
            </w:r>
          </w:p>
        </w:tc>
        <w:tc>
          <w:tcPr>
            <w:tcW w:w="1631" w:type="dxa"/>
          </w:tcPr>
          <w:p w:rsidR="006B40C7" w:rsidRPr="005154BB" w:rsidRDefault="006B40C7" w:rsidP="007C0552">
            <w:r>
              <w:t>18 / 30</w:t>
            </w:r>
          </w:p>
        </w:tc>
        <w:tc>
          <w:tcPr>
            <w:tcW w:w="1631" w:type="dxa"/>
            <w:vAlign w:val="center"/>
          </w:tcPr>
          <w:p w:rsidR="006B40C7" w:rsidRPr="005154BB" w:rsidRDefault="006B40C7" w:rsidP="006B40C7">
            <w:pPr>
              <w:pStyle w:val="Listenabsatz"/>
              <w:numPr>
                <w:ilvl w:val="0"/>
                <w:numId w:val="1"/>
              </w:numPr>
            </w:pPr>
            <w:r w:rsidRPr="005154BB">
              <w:t>- 1.5</w:t>
            </w:r>
          </w:p>
        </w:tc>
        <w:tc>
          <w:tcPr>
            <w:tcW w:w="1323" w:type="dxa"/>
            <w:vAlign w:val="center"/>
          </w:tcPr>
          <w:p w:rsidR="006B40C7" w:rsidRDefault="006B40C7" w:rsidP="007C0552">
            <w:pPr>
              <w:rPr>
                <w:lang w:val="en-US"/>
              </w:rPr>
            </w:pPr>
            <w:r>
              <w:rPr>
                <w:lang w:val="en-US"/>
              </w:rPr>
              <w:t>ISTD</w:t>
            </w:r>
          </w:p>
        </w:tc>
      </w:tr>
      <w:tr w:rsidR="006B40C7" w:rsidRPr="005154BB" w:rsidTr="007C0552">
        <w:trPr>
          <w:trHeight w:val="252"/>
        </w:trPr>
        <w:tc>
          <w:tcPr>
            <w:tcW w:w="1104" w:type="dxa"/>
            <w:vAlign w:val="center"/>
          </w:tcPr>
          <w:p w:rsidR="006B40C7" w:rsidRPr="005154BB" w:rsidRDefault="006B40C7" w:rsidP="007C0552">
            <w:pPr>
              <w:rPr>
                <w:b/>
              </w:rPr>
            </w:pPr>
            <w:r w:rsidRPr="005154BB">
              <w:rPr>
                <w:b/>
              </w:rPr>
              <w:t>KYN-</w:t>
            </w:r>
            <w:r>
              <w:rPr>
                <w:b/>
              </w:rPr>
              <w:t>d</w:t>
            </w:r>
            <w:r w:rsidRPr="005154BB">
              <w:rPr>
                <w:b/>
              </w:rPr>
              <w:t>4</w:t>
            </w:r>
          </w:p>
        </w:tc>
        <w:tc>
          <w:tcPr>
            <w:tcW w:w="1808" w:type="dxa"/>
            <w:vAlign w:val="center"/>
          </w:tcPr>
          <w:p w:rsidR="006B40C7" w:rsidRPr="005154BB" w:rsidRDefault="006B40C7" w:rsidP="007C0552">
            <w:r w:rsidRPr="005154BB">
              <w:t>213</w:t>
            </w:r>
          </w:p>
        </w:tc>
        <w:tc>
          <w:tcPr>
            <w:tcW w:w="1946" w:type="dxa"/>
            <w:vAlign w:val="center"/>
          </w:tcPr>
          <w:p w:rsidR="006B40C7" w:rsidRPr="005154BB" w:rsidRDefault="006B40C7" w:rsidP="007C0552">
            <w:r w:rsidRPr="005154BB">
              <w:t>98</w:t>
            </w:r>
          </w:p>
        </w:tc>
        <w:tc>
          <w:tcPr>
            <w:tcW w:w="1631" w:type="dxa"/>
          </w:tcPr>
          <w:p w:rsidR="006B40C7" w:rsidRPr="005154BB" w:rsidRDefault="006B40C7" w:rsidP="007C0552">
            <w:r>
              <w:t>12 / 18</w:t>
            </w:r>
          </w:p>
        </w:tc>
        <w:tc>
          <w:tcPr>
            <w:tcW w:w="1631" w:type="dxa"/>
            <w:vAlign w:val="center"/>
          </w:tcPr>
          <w:p w:rsidR="006B40C7" w:rsidRPr="005154BB" w:rsidRDefault="006B40C7" w:rsidP="007C0552">
            <w:r w:rsidRPr="005154BB">
              <w:t>1.5 - 5.0</w:t>
            </w:r>
          </w:p>
        </w:tc>
        <w:tc>
          <w:tcPr>
            <w:tcW w:w="1323" w:type="dxa"/>
            <w:vAlign w:val="center"/>
          </w:tcPr>
          <w:p w:rsidR="006B40C7" w:rsidRPr="005154BB" w:rsidRDefault="006B40C7" w:rsidP="007C0552">
            <w:r w:rsidRPr="005154BB">
              <w:t>ISTD</w:t>
            </w:r>
          </w:p>
        </w:tc>
      </w:tr>
      <w:tr w:rsidR="006B40C7" w:rsidRPr="005154BB" w:rsidTr="007C0552">
        <w:trPr>
          <w:trHeight w:val="239"/>
        </w:trPr>
        <w:tc>
          <w:tcPr>
            <w:tcW w:w="1104" w:type="dxa"/>
            <w:vAlign w:val="center"/>
          </w:tcPr>
          <w:p w:rsidR="006B40C7" w:rsidRPr="005154BB" w:rsidRDefault="006B40C7" w:rsidP="007C0552">
            <w:pPr>
              <w:rPr>
                <w:b/>
              </w:rPr>
            </w:pPr>
            <w:r w:rsidRPr="005154BB">
              <w:rPr>
                <w:b/>
              </w:rPr>
              <w:t>Q</w:t>
            </w:r>
            <w:r>
              <w:rPr>
                <w:b/>
              </w:rPr>
              <w:t>A</w:t>
            </w:r>
            <w:r w:rsidRPr="005154BB">
              <w:rPr>
                <w:b/>
              </w:rPr>
              <w:t>-</w:t>
            </w:r>
            <w:r>
              <w:rPr>
                <w:b/>
              </w:rPr>
              <w:t>d</w:t>
            </w:r>
            <w:r w:rsidRPr="005154BB">
              <w:rPr>
                <w:b/>
              </w:rPr>
              <w:t>3</w:t>
            </w:r>
          </w:p>
        </w:tc>
        <w:tc>
          <w:tcPr>
            <w:tcW w:w="1808" w:type="dxa"/>
            <w:vAlign w:val="center"/>
          </w:tcPr>
          <w:p w:rsidR="006B40C7" w:rsidRPr="005154BB" w:rsidRDefault="006B40C7" w:rsidP="007C0552">
            <w:r w:rsidRPr="005154BB">
              <w:t>171</w:t>
            </w:r>
          </w:p>
        </w:tc>
        <w:tc>
          <w:tcPr>
            <w:tcW w:w="1946" w:type="dxa"/>
            <w:vAlign w:val="center"/>
          </w:tcPr>
          <w:p w:rsidR="006B40C7" w:rsidRPr="005154BB" w:rsidRDefault="006B40C7" w:rsidP="007C0552">
            <w:r w:rsidRPr="005154BB">
              <w:t>81</w:t>
            </w:r>
          </w:p>
        </w:tc>
        <w:tc>
          <w:tcPr>
            <w:tcW w:w="1631" w:type="dxa"/>
          </w:tcPr>
          <w:p w:rsidR="006B40C7" w:rsidRPr="005154BB" w:rsidRDefault="006B40C7" w:rsidP="007C0552">
            <w:r>
              <w:t>16 / 26</w:t>
            </w:r>
          </w:p>
        </w:tc>
        <w:tc>
          <w:tcPr>
            <w:tcW w:w="1631" w:type="dxa"/>
            <w:vAlign w:val="center"/>
          </w:tcPr>
          <w:p w:rsidR="006B40C7" w:rsidRPr="005154BB" w:rsidRDefault="006B40C7" w:rsidP="007C0552">
            <w:r w:rsidRPr="005154BB">
              <w:t>1.0 - 3.0</w:t>
            </w:r>
          </w:p>
        </w:tc>
        <w:tc>
          <w:tcPr>
            <w:tcW w:w="1323" w:type="dxa"/>
            <w:vAlign w:val="center"/>
          </w:tcPr>
          <w:p w:rsidR="006B40C7" w:rsidRPr="005154BB" w:rsidRDefault="006B40C7" w:rsidP="007C0552">
            <w:r w:rsidRPr="005154BB">
              <w:t>ISTD</w:t>
            </w:r>
          </w:p>
        </w:tc>
      </w:tr>
      <w:tr w:rsidR="006B40C7" w:rsidRPr="005154BB" w:rsidTr="007C0552">
        <w:trPr>
          <w:trHeight w:val="239"/>
        </w:trPr>
        <w:tc>
          <w:tcPr>
            <w:tcW w:w="1104" w:type="dxa"/>
            <w:vAlign w:val="center"/>
          </w:tcPr>
          <w:p w:rsidR="006B40C7" w:rsidRPr="005154BB" w:rsidRDefault="006B40C7" w:rsidP="007C0552">
            <w:pPr>
              <w:rPr>
                <w:b/>
              </w:rPr>
            </w:pPr>
            <w:r w:rsidRPr="005154BB">
              <w:rPr>
                <w:b/>
              </w:rPr>
              <w:t>KA-</w:t>
            </w:r>
            <w:r>
              <w:rPr>
                <w:b/>
              </w:rPr>
              <w:t>d</w:t>
            </w:r>
            <w:r w:rsidRPr="005154BB">
              <w:rPr>
                <w:b/>
              </w:rPr>
              <w:t>5</w:t>
            </w:r>
          </w:p>
        </w:tc>
        <w:tc>
          <w:tcPr>
            <w:tcW w:w="1808" w:type="dxa"/>
            <w:vAlign w:val="center"/>
          </w:tcPr>
          <w:p w:rsidR="006B40C7" w:rsidRPr="005154BB" w:rsidRDefault="006B40C7" w:rsidP="007C0552">
            <w:r w:rsidRPr="005154BB">
              <w:t>195</w:t>
            </w:r>
          </w:p>
        </w:tc>
        <w:tc>
          <w:tcPr>
            <w:tcW w:w="1946" w:type="dxa"/>
            <w:vAlign w:val="center"/>
          </w:tcPr>
          <w:p w:rsidR="006B40C7" w:rsidRPr="005154BB" w:rsidRDefault="006B40C7" w:rsidP="007C0552">
            <w:r w:rsidRPr="005154BB">
              <w:t>149</w:t>
            </w:r>
          </w:p>
        </w:tc>
        <w:tc>
          <w:tcPr>
            <w:tcW w:w="1631" w:type="dxa"/>
          </w:tcPr>
          <w:p w:rsidR="006B40C7" w:rsidRPr="005154BB" w:rsidRDefault="006B40C7" w:rsidP="007C0552">
            <w:r>
              <w:t>14 / 26</w:t>
            </w:r>
          </w:p>
        </w:tc>
        <w:tc>
          <w:tcPr>
            <w:tcW w:w="1631" w:type="dxa"/>
            <w:vAlign w:val="center"/>
          </w:tcPr>
          <w:p w:rsidR="006B40C7" w:rsidRPr="005154BB" w:rsidRDefault="006B40C7" w:rsidP="007C0552">
            <w:r w:rsidRPr="005154BB">
              <w:t>1.5 - 5.0</w:t>
            </w:r>
          </w:p>
        </w:tc>
        <w:tc>
          <w:tcPr>
            <w:tcW w:w="1323" w:type="dxa"/>
            <w:vAlign w:val="center"/>
          </w:tcPr>
          <w:p w:rsidR="006B40C7" w:rsidRPr="005154BB" w:rsidRDefault="006B40C7" w:rsidP="007C0552">
            <w:r w:rsidRPr="005154BB">
              <w:t>ISTD</w:t>
            </w:r>
          </w:p>
        </w:tc>
      </w:tr>
    </w:tbl>
    <w:p w:rsidR="006B40C7" w:rsidRDefault="006B40C7" w:rsidP="006B40C7">
      <w:pPr>
        <w:spacing w:line="480" w:lineRule="auto"/>
        <w:jc w:val="both"/>
        <w:rPr>
          <w:lang w:val="en-US"/>
        </w:rPr>
      </w:pPr>
    </w:p>
    <w:p w:rsidR="006B40C7" w:rsidRDefault="006B40C7" w:rsidP="006B40C7">
      <w:pPr>
        <w:spacing w:line="480" w:lineRule="auto"/>
        <w:jc w:val="both"/>
        <w:rPr>
          <w:lang w:val="en-US"/>
        </w:rPr>
      </w:pPr>
      <w:r>
        <w:rPr>
          <w:lang w:val="en-US"/>
        </w:rPr>
        <w:t>Chemicals and reagents</w:t>
      </w:r>
    </w:p>
    <w:p w:rsidR="006B40C7" w:rsidRDefault="006B40C7" w:rsidP="006B40C7">
      <w:pPr>
        <w:spacing w:line="480" w:lineRule="auto"/>
        <w:jc w:val="both"/>
        <w:rPr>
          <w:lang w:val="en-US"/>
        </w:rPr>
      </w:pPr>
      <w:r w:rsidRPr="00E42691">
        <w:rPr>
          <w:lang w:val="en-US"/>
        </w:rPr>
        <w:t xml:space="preserve">For all aqueous solutions ultrapure water was obtained from a Thermo Scientific </w:t>
      </w:r>
      <w:proofErr w:type="spellStart"/>
      <w:r w:rsidRPr="00E42691">
        <w:rPr>
          <w:lang w:val="en-US"/>
        </w:rPr>
        <w:t>GenPure</w:t>
      </w:r>
      <w:proofErr w:type="spellEnd"/>
      <w:r w:rsidRPr="00E42691">
        <w:rPr>
          <w:lang w:val="en-US"/>
        </w:rPr>
        <w:t xml:space="preserve"> UV-TOC </w:t>
      </w:r>
      <w:proofErr w:type="spellStart"/>
      <w:r w:rsidRPr="00E42691">
        <w:rPr>
          <w:lang w:val="en-US"/>
        </w:rPr>
        <w:t>xCAD</w:t>
      </w:r>
      <w:proofErr w:type="spellEnd"/>
      <w:r w:rsidRPr="00E42691">
        <w:rPr>
          <w:lang w:val="en-US"/>
        </w:rPr>
        <w:t xml:space="preserve"> plus water purification system (</w:t>
      </w:r>
      <w:proofErr w:type="spellStart"/>
      <w:r w:rsidRPr="00E42691">
        <w:rPr>
          <w:lang w:val="en-US"/>
        </w:rPr>
        <w:t>Langenselbold</w:t>
      </w:r>
      <w:proofErr w:type="spellEnd"/>
      <w:r w:rsidRPr="00E42691">
        <w:rPr>
          <w:lang w:val="en-US"/>
        </w:rPr>
        <w:t>, Germany). Acetonitrile and methanol of analytical grade as well as formic acid were purchased from Merck (Darmstadt, Germany). Phosphate-buffered saline (PBS, pH 7.4) buffer, which was prepared according to the manufacturer's recommendations (1 tablet dissolved in 200 mL of water), was from Sigma-Aldrich (</w:t>
      </w:r>
      <w:proofErr w:type="spellStart"/>
      <w:r w:rsidRPr="00E42691">
        <w:rPr>
          <w:lang w:val="en-US"/>
        </w:rPr>
        <w:t>Schnelldorf</w:t>
      </w:r>
      <w:proofErr w:type="spellEnd"/>
      <w:r w:rsidRPr="00E42691">
        <w:rPr>
          <w:lang w:val="en-US"/>
        </w:rPr>
        <w:t>, Germany) and 5% human serum albumin (HSA) solution was from Biotest Pharma GmbH (</w:t>
      </w:r>
      <w:proofErr w:type="spellStart"/>
      <w:r w:rsidRPr="00E42691">
        <w:rPr>
          <w:lang w:val="en-US"/>
        </w:rPr>
        <w:t>Dreieich</w:t>
      </w:r>
      <w:proofErr w:type="spellEnd"/>
      <w:r w:rsidRPr="00E42691">
        <w:rPr>
          <w:lang w:val="en-US"/>
        </w:rPr>
        <w:t>, Germany). Stable isotope-labeled (deuterated) D-Tryptophan-d5, Kynurenic acid-d5, L-Kynurenine-d4 and 2,3-Pyridinedicarboxylic acid-d3 which were used as internal standards (ISTD) were obtained from Toronto Research Chemicals (Toronto, CAN). Unlabeled L-Kynurenine (KYN), Kynurenic acid (KA), L-Tryptophan (TRP) and 2,3-Pyridindicarboxylic (QA) acid were further obtained from Merck.</w:t>
      </w:r>
    </w:p>
    <w:p w:rsidR="006B40C7" w:rsidRDefault="006B40C7" w:rsidP="006B40C7">
      <w:pPr>
        <w:spacing w:line="480" w:lineRule="auto"/>
        <w:jc w:val="both"/>
        <w:rPr>
          <w:lang w:val="en-US"/>
        </w:rPr>
      </w:pPr>
    </w:p>
    <w:p w:rsidR="006B40C7" w:rsidRDefault="006B40C7" w:rsidP="006B40C7">
      <w:pPr>
        <w:spacing w:line="480" w:lineRule="auto"/>
        <w:jc w:val="both"/>
        <w:rPr>
          <w:lang w:val="en-US"/>
        </w:rPr>
      </w:pPr>
      <w:r>
        <w:rPr>
          <w:lang w:val="en-US"/>
        </w:rPr>
        <w:t>HPLC - MS/MS</w:t>
      </w:r>
    </w:p>
    <w:p w:rsidR="006B40C7" w:rsidRPr="00E64F46" w:rsidRDefault="006B40C7" w:rsidP="006B40C7">
      <w:pPr>
        <w:spacing w:line="480" w:lineRule="auto"/>
        <w:jc w:val="both"/>
        <w:rPr>
          <w:lang w:val="en-US"/>
        </w:rPr>
      </w:pPr>
      <w:r w:rsidRPr="00E64F46">
        <w:rPr>
          <w:lang w:val="en-US"/>
        </w:rPr>
        <w:lastRenderedPageBreak/>
        <w:t xml:space="preserve">Batchwise, aliquots of 50 µL </w:t>
      </w:r>
      <w:r>
        <w:rPr>
          <w:lang w:val="en-US"/>
        </w:rPr>
        <w:t>plasma</w:t>
      </w:r>
      <w:r w:rsidRPr="00E64F46">
        <w:rPr>
          <w:lang w:val="en-US"/>
        </w:rPr>
        <w:t xml:space="preserve"> (in duplicate) which were stored at -80°C until analysis, were thawed and 5 µL of ISTD mix</w:t>
      </w:r>
      <w:r w:rsidRPr="00E64F46">
        <w:rPr>
          <w:lang w:val="en-GB"/>
        </w:rPr>
        <w:t xml:space="preserve"> was added. Subsequently another 200 µL of ice-cold methanol were added and samples were vigorously vortexed. Crashed proteins were removed by centrifugation (17.000 </w:t>
      </w:r>
      <w:r w:rsidRPr="00E64F46">
        <w:rPr>
          <w:i/>
          <w:lang w:val="en-GB"/>
        </w:rPr>
        <w:t>x g</w:t>
      </w:r>
      <w:r w:rsidRPr="00E64F46">
        <w:rPr>
          <w:lang w:val="en-GB"/>
        </w:rPr>
        <w:t>, 5 min) before 100 µL of the supernatant is transferred into HPLC glass vials to be ready for injection to the HPLC-MS system. A calibration curve was prepared including 6 concentration levels for each analyte (TRP: 0.1, 0.2, 1, 2, 10 and 20 µg/mL; QA and KYN: 0.01, 0.02, 0.1, 0.2, 1 and 2; KA: 1, 2, 10, 20, 100 and 200 ng/mL).</w:t>
      </w:r>
    </w:p>
    <w:p w:rsidR="006B40C7" w:rsidRDefault="006B40C7" w:rsidP="006B40C7">
      <w:pPr>
        <w:spacing w:line="480" w:lineRule="auto"/>
        <w:jc w:val="both"/>
        <w:rPr>
          <w:lang w:val="en-US"/>
        </w:rPr>
      </w:pPr>
      <w:r w:rsidRPr="00E64F46">
        <w:rPr>
          <w:lang w:val="en-US"/>
        </w:rPr>
        <w:t xml:space="preserve">Analysis were performed utilizing a Waters ACQUITY UPLC® system equipped with an ACQUITY UPLC® HSS T3 analytical column (2.1 x 50 mm, 1.8 µm particles) coupled to a </w:t>
      </w:r>
      <w:proofErr w:type="spellStart"/>
      <w:r w:rsidRPr="00E64F46">
        <w:rPr>
          <w:lang w:val="en-GB"/>
        </w:rPr>
        <w:t>Xevo</w:t>
      </w:r>
      <w:proofErr w:type="spellEnd"/>
      <w:r w:rsidRPr="00E64F46">
        <w:rPr>
          <w:lang w:val="en-GB"/>
        </w:rPr>
        <w:t xml:space="preserve">® TQ-XS triple quadrupole mass spectrometer (Waters, </w:t>
      </w:r>
      <w:proofErr w:type="spellStart"/>
      <w:r w:rsidRPr="00E64F46">
        <w:rPr>
          <w:lang w:val="en-GB"/>
        </w:rPr>
        <w:t>Eschborn</w:t>
      </w:r>
      <w:proofErr w:type="spellEnd"/>
      <w:r w:rsidRPr="00E64F46">
        <w:rPr>
          <w:lang w:val="en-GB"/>
        </w:rPr>
        <w:t>, Germany). For chromatographic separation gradient elution was carried out using 5 mM aqueous ammonium acetate solution adjusted to pH 9 (NH</w:t>
      </w:r>
      <w:r w:rsidRPr="00E64F46">
        <w:rPr>
          <w:vertAlign w:val="subscript"/>
          <w:lang w:val="en-GB"/>
        </w:rPr>
        <w:t>4</w:t>
      </w:r>
      <w:r w:rsidRPr="00E64F46">
        <w:rPr>
          <w:lang w:val="en-GB"/>
        </w:rPr>
        <w:t xml:space="preserve">OH was added) as Eluent A and acetonitrile acidified with 2% formic acid as Eluent B. The injection volume was set to 2 µL and the overall flowrate was 300 µL/min during a total run time of 11 min. In detail, the gradient program started at 2% organic phase (B) which was increased to 20% within 6 min and further to 100% during one additional min. After two min of constant hold, the initial conditions were restored for 2 min. Positive ionization was applied by </w:t>
      </w:r>
      <w:r w:rsidRPr="00E64F46">
        <w:rPr>
          <w:lang w:val="en-US"/>
        </w:rPr>
        <w:t xml:space="preserve">an </w:t>
      </w:r>
      <w:proofErr w:type="spellStart"/>
      <w:r w:rsidRPr="00E64F46">
        <w:rPr>
          <w:lang w:val="en-US"/>
        </w:rPr>
        <w:t>UniSpray</w:t>
      </w:r>
      <w:proofErr w:type="spellEnd"/>
      <w:r w:rsidRPr="00E64F46">
        <w:rPr>
          <w:lang w:val="en-US"/>
        </w:rPr>
        <w:t xml:space="preserve">™ (US) ion source (US+) at an impact voltage of 3.9 kV and a </w:t>
      </w:r>
      <w:proofErr w:type="spellStart"/>
      <w:r w:rsidRPr="00E64F46">
        <w:rPr>
          <w:lang w:val="en-US"/>
        </w:rPr>
        <w:t>desolvation</w:t>
      </w:r>
      <w:proofErr w:type="spellEnd"/>
      <w:r w:rsidRPr="00E64F46">
        <w:rPr>
          <w:lang w:val="en-US"/>
        </w:rPr>
        <w:t xml:space="preserve"> temperature of 500 °C. Individually tuned </w:t>
      </w:r>
      <w:r w:rsidRPr="00E64F46">
        <w:rPr>
          <w:lang w:val="en-GB"/>
        </w:rPr>
        <w:t>multiple reaction monitoring (MRM) experiments (see Table 1) were conducted for diagnostic ion transitions (precursor ion to product ion, dwell time of 20 </w:t>
      </w:r>
      <w:proofErr w:type="spellStart"/>
      <w:r w:rsidRPr="00E64F46">
        <w:rPr>
          <w:lang w:val="en-GB"/>
        </w:rPr>
        <w:t>ms</w:t>
      </w:r>
      <w:proofErr w:type="spellEnd"/>
      <w:r w:rsidRPr="00E64F46">
        <w:rPr>
          <w:lang w:val="en-GB"/>
        </w:rPr>
        <w:t xml:space="preserve"> each) resulting from collision-induced dissociations (CID) triggered by the presence of Argon. For the estimation of analyte concentrations peak area ratios of the quantifying ion transition and the corresponding signal for the ISTD were used for calculation using the calibration curve equation. </w:t>
      </w:r>
    </w:p>
    <w:p w:rsidR="00AA5B83" w:rsidRDefault="00AA5B83"/>
    <w:sectPr w:rsidR="00AA5B83" w:rsidSect="00A0224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976E8"/>
    <w:multiLevelType w:val="multilevel"/>
    <w:tmpl w:val="D4C2CE06"/>
    <w:lvl w:ilvl="0">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15:restartNumberingAfterBreak="0">
    <w:nsid w:val="3B253E9C"/>
    <w:multiLevelType w:val="multilevel"/>
    <w:tmpl w:val="7332ACEA"/>
    <w:lvl w:ilvl="0">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C7"/>
    <w:rsid w:val="00050D6D"/>
    <w:rsid w:val="001A5FC1"/>
    <w:rsid w:val="003061CD"/>
    <w:rsid w:val="006B40C7"/>
    <w:rsid w:val="00A02248"/>
    <w:rsid w:val="00AA5B83"/>
    <w:rsid w:val="00B2784F"/>
    <w:rsid w:val="00CA136B"/>
    <w:rsid w:val="00CA7CE3"/>
    <w:rsid w:val="00CE2B30"/>
    <w:rsid w:val="00D546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5DF7CF8-DEBD-9A4B-9145-EA4F239E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C7"/>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2B30"/>
    <w:rPr>
      <w:sz w:val="18"/>
      <w:szCs w:val="18"/>
    </w:rPr>
  </w:style>
  <w:style w:type="character" w:customStyle="1" w:styleId="SprechblasentextZchn">
    <w:name w:val="Sprechblasentext Zchn"/>
    <w:basedOn w:val="Absatz-Standardschriftart"/>
    <w:link w:val="Sprechblasentext"/>
    <w:uiPriority w:val="99"/>
    <w:semiHidden/>
    <w:rsid w:val="00CE2B30"/>
    <w:rPr>
      <w:rFonts w:ascii="Times New Roman" w:hAnsi="Times New Roman" w:cs="Times New Roman"/>
      <w:sz w:val="18"/>
      <w:szCs w:val="18"/>
    </w:rPr>
  </w:style>
  <w:style w:type="paragraph" w:styleId="Listenabsatz">
    <w:name w:val="List Paragraph"/>
    <w:basedOn w:val="Standard"/>
    <w:uiPriority w:val="34"/>
    <w:qFormat/>
    <w:rsid w:val="006B40C7"/>
    <w:pPr>
      <w:ind w:left="720"/>
      <w:contextualSpacing/>
    </w:pPr>
    <w:rPr>
      <w:rFonts w:asciiTheme="minorHAnsi" w:eastAsiaTheme="minorHAnsi" w:hAnsiTheme="minorHAnsi" w:cstheme="minorBidi"/>
      <w:lang w:eastAsia="en-US"/>
    </w:rPr>
  </w:style>
  <w:style w:type="table" w:styleId="Tabellenraster">
    <w:name w:val="Table Grid"/>
    <w:basedOn w:val="NormaleTabelle"/>
    <w:uiPriority w:val="39"/>
    <w:rsid w:val="006B40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3241</Characters>
  <Application>Microsoft Office Word</Application>
  <DocSecurity>0</DocSecurity>
  <Lines>27</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2020-09-27T11:09:00Z</dcterms:created>
  <dcterms:modified xsi:type="dcterms:W3CDTF">2020-09-27T11:09:00Z</dcterms:modified>
</cp:coreProperties>
</file>