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0C20F" w14:textId="3250E312" w:rsidR="001C33A7" w:rsidRPr="00501EE8" w:rsidRDefault="001C33A7" w:rsidP="001C33A7">
      <w:pPr>
        <w:widowControl w:val="0"/>
        <w:autoSpaceDE w:val="0"/>
        <w:autoSpaceDN w:val="0"/>
        <w:adjustRightInd w:val="0"/>
        <w:spacing w:after="0" w:line="360" w:lineRule="auto"/>
        <w:jc w:val="center"/>
        <w:rPr>
          <w:rFonts w:ascii="Times New Roman" w:hAnsi="Times New Roman"/>
          <w:b/>
          <w:lang w:bidi="ar-SA"/>
        </w:rPr>
      </w:pPr>
      <w:r>
        <w:rPr>
          <w:rFonts w:ascii="Times New Roman" w:hAnsi="Times New Roman"/>
          <w:b/>
          <w:lang w:bidi="ar-SA"/>
        </w:rPr>
        <w:t>SUPPLEMENTARY MATERIAL</w:t>
      </w:r>
    </w:p>
    <w:p w14:paraId="1B82ADDD" w14:textId="7F54C5CE" w:rsidR="00E8587A" w:rsidRDefault="00E8587A" w:rsidP="00BF58D7">
      <w:pPr>
        <w:widowControl w:val="0"/>
        <w:autoSpaceDE w:val="0"/>
        <w:autoSpaceDN w:val="0"/>
        <w:adjustRightInd w:val="0"/>
        <w:spacing w:after="0" w:line="360" w:lineRule="auto"/>
        <w:rPr>
          <w:rFonts w:ascii="Times New Roman" w:hAnsi="Times New Roman"/>
          <w:b/>
          <w:lang w:bidi="ar-SA"/>
        </w:rPr>
      </w:pPr>
      <w:proofErr w:type="spellStart"/>
      <w:r w:rsidRPr="00156C75">
        <w:rPr>
          <w:rFonts w:ascii="Times New Roman" w:hAnsi="Times New Roman"/>
          <w:b/>
        </w:rPr>
        <w:t>Argonaute</w:t>
      </w:r>
      <w:proofErr w:type="spellEnd"/>
      <w:r w:rsidRPr="00156C75">
        <w:rPr>
          <w:rFonts w:ascii="Times New Roman" w:hAnsi="Times New Roman"/>
          <w:b/>
        </w:rPr>
        <w:t xml:space="preserve"> autoantibodies as biomarkers in autoimmune neurological diseases</w:t>
      </w:r>
    </w:p>
    <w:p w14:paraId="2F3754C2" w14:textId="77777777" w:rsidR="00E8587A" w:rsidRDefault="00E8587A" w:rsidP="00E8587A">
      <w:pPr>
        <w:spacing w:after="0" w:line="360" w:lineRule="auto"/>
        <w:rPr>
          <w:rFonts w:ascii="Times New Roman" w:hAnsi="Times New Roman"/>
          <w:b/>
        </w:rPr>
      </w:pPr>
    </w:p>
    <w:p w14:paraId="335A49DB" w14:textId="29D0180C" w:rsidR="00E8587A" w:rsidRDefault="00E8587A" w:rsidP="00E8587A">
      <w:pPr>
        <w:spacing w:after="0" w:line="360" w:lineRule="auto"/>
        <w:rPr>
          <w:rFonts w:ascii="Times New Roman" w:hAnsi="Times New Roman"/>
          <w:b/>
        </w:rPr>
      </w:pPr>
      <w:r>
        <w:rPr>
          <w:rFonts w:ascii="Times New Roman" w:hAnsi="Times New Roman"/>
          <w:b/>
        </w:rPr>
        <w:t>METHODS</w:t>
      </w:r>
    </w:p>
    <w:p w14:paraId="7FB0079B" w14:textId="77777777" w:rsidR="00E8587A" w:rsidRPr="00156C75" w:rsidRDefault="00E8587A" w:rsidP="00E8587A">
      <w:pPr>
        <w:spacing w:after="0" w:line="360" w:lineRule="auto"/>
        <w:rPr>
          <w:rFonts w:ascii="Times New Roman" w:hAnsi="Times New Roman"/>
        </w:rPr>
      </w:pPr>
      <w:r w:rsidRPr="00156C75">
        <w:rPr>
          <w:rFonts w:ascii="Times New Roman" w:hAnsi="Times New Roman"/>
          <w:b/>
        </w:rPr>
        <w:t>Immunohistochemistry</w:t>
      </w:r>
    </w:p>
    <w:p w14:paraId="1F20D1BA" w14:textId="2BCB30EB" w:rsidR="00E8587A" w:rsidRPr="00156C75" w:rsidRDefault="00E8587A" w:rsidP="00E8587A">
      <w:pPr>
        <w:spacing w:after="0" w:line="360" w:lineRule="auto"/>
        <w:ind w:firstLine="720"/>
        <w:rPr>
          <w:rFonts w:ascii="Times New Roman" w:hAnsi="Times New Roman"/>
        </w:rPr>
      </w:pPr>
      <w:r w:rsidRPr="00156C75">
        <w:rPr>
          <w:rFonts w:ascii="Times New Roman" w:hAnsi="Times New Roman"/>
        </w:rPr>
        <w:t xml:space="preserve">Freshly prepared adult rat brains were fixed in 4% paraformaldehyde (PFA) for 1 h, frozen, and sliced into 12 µm-thick sections. </w:t>
      </w:r>
      <w:proofErr w:type="spellStart"/>
      <w:r w:rsidRPr="00156C75">
        <w:rPr>
          <w:rFonts w:ascii="Times New Roman" w:hAnsi="Times New Roman"/>
        </w:rPr>
        <w:t>Immunolabeling</w:t>
      </w:r>
      <w:proofErr w:type="spellEnd"/>
      <w:r w:rsidRPr="00156C75">
        <w:rPr>
          <w:rFonts w:ascii="Times New Roman" w:hAnsi="Times New Roman"/>
        </w:rPr>
        <w:t xml:space="preserve"> was performed as previously </w:t>
      </w:r>
      <w:proofErr w:type="spellStart"/>
      <w:r w:rsidRPr="00156C75">
        <w:rPr>
          <w:rFonts w:ascii="Times New Roman" w:hAnsi="Times New Roman"/>
        </w:rPr>
        <w:t>described</w:t>
      </w:r>
      <w:proofErr w:type="gramStart"/>
      <w:r w:rsidRPr="00156C75">
        <w:rPr>
          <w:rFonts w:ascii="Times New Roman" w:hAnsi="Times New Roman"/>
        </w:rPr>
        <w:t>,</w:t>
      </w:r>
      <w:r w:rsidR="00DA6F16">
        <w:rPr>
          <w:rFonts w:ascii="Times New Roman" w:hAnsi="Times New Roman"/>
          <w:vertAlign w:val="superscript"/>
        </w:rPr>
        <w:t>e</w:t>
      </w:r>
      <w:proofErr w:type="spellEnd"/>
      <w:proofErr w:type="gramEnd"/>
      <w:r w:rsidRPr="00156C75">
        <w:rPr>
          <w:rFonts w:ascii="Times New Roman" w:hAnsi="Times New Roman"/>
        </w:rPr>
        <w:fldChar w:fldCharType="begin"/>
      </w:r>
      <w:r w:rsidR="002B6974">
        <w:rPr>
          <w:rFonts w:ascii="Times New Roman" w:hAnsi="Times New Roman"/>
        </w:rPr>
        <w:instrText xml:space="preserve"> ADDIN ZOTERO_ITEM CSL_CITATION {"citationID":"Jk7RRyZp","properties":{"formattedCitation":"\\super 1\\nosupersub{}","plainCitation":"1","noteIndex":0},"citationItems":[{"id":2172,"uris":["http://zotero.org/users/6108893/items/6PA8NZ97"],"uri":["http://zotero.org/users/6108893/items/6PA8NZ97"],"itemData":{"id":2172,"type":"article-journal","abstract":"To describe autoantibodies (Abs) against tripartite motif-containing (TRIM) protein 9 and 67 in two patients with paraneoplastic cerebellar degeneration (PCD) associated with lung adenocarcinoma. Abs were characterized using immunohistochemistry, Western blotting, cultures of murine cortical, and hippocampal neurons, immunoprecipitation, mass spectrometry, knockout mice for Trim9 and 67, and cell-based assay. Control samples included sera from 63 patients with small cell lung cancer without any paraneoplastic neurological syndrome, 36 patients with lung adenocarcinoma and PNS, CSF from 100 patients with autoimmune encephalitis, and CSF from 165 patients with neurodegenerative diseases. We found Abs targeting TRIM9 and TRIM67 at high concentration in the serum and the cerebrospinal fluid (CSF) of a 78-year-old woman and a 65-year-old man. Both developed subacute severe cerebellar ataxia. Brain magnetic resonance imaging found no abnormality and no cerebellar atrophy. Both had CSF inflammation with mild pleiocytosis and a few oligoclonal bands. We identified a pulmonary adenocarcinoma, confirming the paraneoplastic neurological syndrome in both patients. They received immunomodulatory and cancer treatments without improvement of cerebellar ataxia, even though both were in remission of their cancer (for more than 10 years in one patient). Anti-TRIM9 and anti-TRIM67 Abs were specific to these two patients. All control serum and CSF samples tested were negative for anti-TRIM9 and 67. Anti-TRIM9 and anti-TRIM67 Abs appeared to be specific biomarkers of PCD and should be added to the panel of antigens tested when this is suspected.","container-title":"Cerebellum (London, England)","DOI":"10.1007/s12311-018-0987-5","ISSN":"1473-4230","issue":"2","journalAbbreviation":"Cerebellum","language":"eng","note":"PMID: 30350014\nPMCID: PMC6445697","page":"245-254","source":"PubMed","title":"TRIM9 and TRIM67 Are New Targets in Paraneoplastic Cerebellar Degeneration","volume":"18","author":[{"family":"Do","given":"Le Duy"},{"family":"Gupton","given":"Stephanie L."},{"family":"Tanji","given":"Kunikazu"},{"family":"Bastien","given":"Joubert"},{"family":"Brugière","given":"Sabine"},{"family":"Couté","given":"Yohann"},{"family":"Quadrio","given":"Isabelle"},{"family":"Rogemond","given":"Veronique"},{"family":"Fabien","given":"Nicole"},{"family":"Desestret","given":"Virginie"},{"family":"Honnorat","given":"Jerome"}],"issued":{"date-parts":[["2019",4]]}}}],"schema":"https://github.com/citation-style-language/schema/raw/master/csl-citation.json"} </w:instrText>
      </w:r>
      <w:r w:rsidRPr="00156C75">
        <w:rPr>
          <w:rFonts w:ascii="Times New Roman" w:hAnsi="Times New Roman"/>
        </w:rPr>
        <w:fldChar w:fldCharType="separate"/>
      </w:r>
      <w:r w:rsidR="002B6974" w:rsidRPr="002B6974">
        <w:rPr>
          <w:rFonts w:ascii="Times New Roman" w:hAnsi="Times New Roman"/>
          <w:vertAlign w:val="superscript"/>
          <w:lang w:val="es-ES"/>
        </w:rPr>
        <w:t>1</w:t>
      </w:r>
      <w:r w:rsidRPr="00156C75">
        <w:rPr>
          <w:rFonts w:ascii="Times New Roman" w:hAnsi="Times New Roman"/>
        </w:rPr>
        <w:fldChar w:fldCharType="end"/>
      </w:r>
      <w:r w:rsidRPr="00156C75">
        <w:rPr>
          <w:rFonts w:ascii="Times New Roman" w:hAnsi="Times New Roman"/>
        </w:rPr>
        <w:t xml:space="preserve"> using patient CSF (1:10) and revealed with </w:t>
      </w:r>
      <w:proofErr w:type="spellStart"/>
      <w:r w:rsidRPr="00156C75">
        <w:rPr>
          <w:rFonts w:ascii="Times New Roman" w:hAnsi="Times New Roman"/>
        </w:rPr>
        <w:t>Alexa</w:t>
      </w:r>
      <w:proofErr w:type="spellEnd"/>
      <w:r w:rsidRPr="00156C75">
        <w:rPr>
          <w:rFonts w:ascii="Times New Roman" w:hAnsi="Times New Roman"/>
        </w:rPr>
        <w:t xml:space="preserve"> 488 </w:t>
      </w:r>
      <w:proofErr w:type="spellStart"/>
      <w:r w:rsidRPr="00156C75">
        <w:rPr>
          <w:rFonts w:ascii="Times New Roman" w:hAnsi="Times New Roman"/>
        </w:rPr>
        <w:t>fluorophore</w:t>
      </w:r>
      <w:proofErr w:type="spellEnd"/>
      <w:r w:rsidRPr="00156C75">
        <w:rPr>
          <w:rFonts w:ascii="Times New Roman" w:hAnsi="Times New Roman"/>
        </w:rPr>
        <w:t xml:space="preserve">-conjugated secondary antibodies (1:1,200, A11013, Thermo Fischer, </w:t>
      </w:r>
      <w:proofErr w:type="spellStart"/>
      <w:r w:rsidRPr="00156C75">
        <w:rPr>
          <w:rFonts w:ascii="Times New Roman" w:hAnsi="Times New Roman"/>
        </w:rPr>
        <w:t>Courtaboeuf</w:t>
      </w:r>
      <w:proofErr w:type="spellEnd"/>
      <w:r w:rsidRPr="00156C75">
        <w:rPr>
          <w:rFonts w:ascii="Times New Roman" w:hAnsi="Times New Roman"/>
        </w:rPr>
        <w:t xml:space="preserve">, France). </w:t>
      </w:r>
    </w:p>
    <w:p w14:paraId="491A8F55" w14:textId="77777777" w:rsidR="00E8587A" w:rsidRPr="00156C75" w:rsidRDefault="00E8587A" w:rsidP="00E8587A">
      <w:pPr>
        <w:spacing w:after="0" w:line="360" w:lineRule="auto"/>
        <w:rPr>
          <w:rFonts w:ascii="Times New Roman" w:hAnsi="Times New Roman"/>
          <w:lang w:eastAsia="fr-FR"/>
        </w:rPr>
      </w:pPr>
    </w:p>
    <w:p w14:paraId="1AF983A7" w14:textId="77777777" w:rsidR="00E8587A" w:rsidRPr="00156C75" w:rsidRDefault="00E8587A" w:rsidP="00E8587A">
      <w:pPr>
        <w:widowControl w:val="0"/>
        <w:autoSpaceDE w:val="0"/>
        <w:autoSpaceDN w:val="0"/>
        <w:adjustRightInd w:val="0"/>
        <w:spacing w:after="0" w:line="360" w:lineRule="auto"/>
        <w:rPr>
          <w:rFonts w:ascii="Times New Roman" w:hAnsi="Times New Roman"/>
        </w:rPr>
      </w:pPr>
      <w:proofErr w:type="spellStart"/>
      <w:r w:rsidRPr="00156C75">
        <w:rPr>
          <w:rFonts w:ascii="Times New Roman" w:hAnsi="Times New Roman"/>
          <w:b/>
        </w:rPr>
        <w:t>Immunoprecipitation</w:t>
      </w:r>
      <w:proofErr w:type="spellEnd"/>
      <w:r w:rsidRPr="00156C75">
        <w:rPr>
          <w:rFonts w:ascii="Times New Roman" w:hAnsi="Times New Roman"/>
          <w:b/>
        </w:rPr>
        <w:t xml:space="preserve"> and MS-based proteomic analysis</w:t>
      </w:r>
    </w:p>
    <w:p w14:paraId="713C53FD" w14:textId="03C72F8E" w:rsidR="00E8587A" w:rsidRPr="00156C75" w:rsidRDefault="00E8587A" w:rsidP="00E8587A">
      <w:pPr>
        <w:widowControl w:val="0"/>
        <w:autoSpaceDE w:val="0"/>
        <w:autoSpaceDN w:val="0"/>
        <w:adjustRightInd w:val="0"/>
        <w:spacing w:after="0" w:line="360" w:lineRule="auto"/>
        <w:ind w:firstLine="720"/>
        <w:rPr>
          <w:rFonts w:ascii="Times New Roman" w:hAnsi="Times New Roman"/>
        </w:rPr>
      </w:pPr>
      <w:r w:rsidRPr="00156C75">
        <w:rPr>
          <w:rFonts w:ascii="Times New Roman" w:hAnsi="Times New Roman"/>
        </w:rPr>
        <w:t>We used the CSF of a patient with LE and atypical staining by i</w:t>
      </w:r>
      <w:r w:rsidR="00D6043D">
        <w:rPr>
          <w:rFonts w:ascii="Times New Roman" w:hAnsi="Times New Roman"/>
        </w:rPr>
        <w:t>mmunohistochemistry (patient XI</w:t>
      </w:r>
      <w:bookmarkStart w:id="0" w:name="_GoBack"/>
      <w:bookmarkEnd w:id="0"/>
      <w:r w:rsidRPr="00156C75">
        <w:rPr>
          <w:rFonts w:ascii="Times New Roman" w:hAnsi="Times New Roman"/>
        </w:rPr>
        <w:t xml:space="preserve">), as well as a control (without staining pattern), to identify the target by </w:t>
      </w:r>
      <w:proofErr w:type="spellStart"/>
      <w:r w:rsidRPr="00156C75">
        <w:rPr>
          <w:rFonts w:ascii="Times New Roman" w:hAnsi="Times New Roman"/>
        </w:rPr>
        <w:t>immunoprecipitation</w:t>
      </w:r>
      <w:proofErr w:type="spellEnd"/>
      <w:r w:rsidRPr="00156C75">
        <w:rPr>
          <w:rFonts w:ascii="Times New Roman" w:hAnsi="Times New Roman"/>
        </w:rPr>
        <w:t xml:space="preserve"> and MS. A volume of 5 µL of CSF was mixed with 50 µL of protein G–conjugated </w:t>
      </w:r>
      <w:proofErr w:type="spellStart"/>
      <w:r w:rsidRPr="00156C75">
        <w:rPr>
          <w:rFonts w:ascii="Times New Roman" w:hAnsi="Times New Roman"/>
        </w:rPr>
        <w:t>agarose</w:t>
      </w:r>
      <w:proofErr w:type="spellEnd"/>
      <w:r w:rsidRPr="00156C75">
        <w:rPr>
          <w:rFonts w:ascii="Times New Roman" w:hAnsi="Times New Roman"/>
        </w:rPr>
        <w:t xml:space="preserve"> beads (Sigma Aldrich, Lyon, France) and adjusted to 500 µL with phosphate buffered saline (PBS). The mixture was incubated for 2 h at 4 °C with rotation to allow for the binding of CSF antibodies to the protein G. Simultaneously, a whole protein extract from one rat brain was prepared and incubated with 50 µL of </w:t>
      </w:r>
      <w:proofErr w:type="spellStart"/>
      <w:r w:rsidRPr="00156C75">
        <w:rPr>
          <w:rFonts w:ascii="Times New Roman" w:hAnsi="Times New Roman"/>
        </w:rPr>
        <w:t>agarose</w:t>
      </w:r>
      <w:proofErr w:type="spellEnd"/>
      <w:r w:rsidRPr="00156C75">
        <w:rPr>
          <w:rFonts w:ascii="Times New Roman" w:hAnsi="Times New Roman"/>
        </w:rPr>
        <w:t xml:space="preserve"> beads. Nonspecific contaminants were removed from the lysate by a 5 minute centrifugation at 16,000 g and 4 °C. The cleared lysate was subsequently used for </w:t>
      </w:r>
      <w:proofErr w:type="spellStart"/>
      <w:r w:rsidRPr="00156C75">
        <w:rPr>
          <w:rFonts w:ascii="Times New Roman" w:hAnsi="Times New Roman"/>
        </w:rPr>
        <w:t>immunoprecipitation</w:t>
      </w:r>
      <w:proofErr w:type="spellEnd"/>
      <w:r w:rsidRPr="00156C75">
        <w:rPr>
          <w:rFonts w:ascii="Times New Roman" w:hAnsi="Times New Roman"/>
        </w:rPr>
        <w:t xml:space="preserve"> with the antibody-conjugated </w:t>
      </w:r>
      <w:proofErr w:type="spellStart"/>
      <w:r w:rsidRPr="00156C75">
        <w:rPr>
          <w:rFonts w:ascii="Times New Roman" w:hAnsi="Times New Roman"/>
        </w:rPr>
        <w:t>agarose</w:t>
      </w:r>
      <w:proofErr w:type="spellEnd"/>
      <w:r w:rsidRPr="00156C75">
        <w:rPr>
          <w:rFonts w:ascii="Times New Roman" w:hAnsi="Times New Roman"/>
        </w:rPr>
        <w:t xml:space="preserve"> beads. The </w:t>
      </w:r>
      <w:proofErr w:type="spellStart"/>
      <w:r w:rsidRPr="00156C75">
        <w:rPr>
          <w:rFonts w:ascii="Times New Roman" w:hAnsi="Times New Roman"/>
        </w:rPr>
        <w:t>immunoprecipitate</w:t>
      </w:r>
      <w:proofErr w:type="spellEnd"/>
      <w:r w:rsidRPr="00156C75">
        <w:rPr>
          <w:rFonts w:ascii="Times New Roman" w:hAnsi="Times New Roman"/>
        </w:rPr>
        <w:t xml:space="preserve"> was analyzed by SDS-PAGE, followed by silver-staining, western blotting, and MS-based proteomics, as previously </w:t>
      </w:r>
      <w:proofErr w:type="spellStart"/>
      <w:r w:rsidRPr="00156C75">
        <w:rPr>
          <w:rFonts w:ascii="Times New Roman" w:hAnsi="Times New Roman"/>
        </w:rPr>
        <w:t>described.</w:t>
      </w:r>
      <w:r w:rsidR="00DA6F16">
        <w:rPr>
          <w:rFonts w:ascii="Times New Roman" w:hAnsi="Times New Roman"/>
          <w:vertAlign w:val="superscript"/>
        </w:rPr>
        <w:t>e</w:t>
      </w:r>
      <w:proofErr w:type="spellEnd"/>
      <w:r w:rsidRPr="00156C75">
        <w:rPr>
          <w:rFonts w:ascii="Times New Roman" w:hAnsi="Times New Roman"/>
        </w:rPr>
        <w:fldChar w:fldCharType="begin"/>
      </w:r>
      <w:r w:rsidR="002B6974">
        <w:rPr>
          <w:rFonts w:ascii="Times New Roman" w:hAnsi="Times New Roman"/>
        </w:rPr>
        <w:instrText xml:space="preserve"> ADDIN ZOTERO_ITEM CSL_CITATION {"citationID":"Ou32ZKxk","properties":{"formattedCitation":"\\super 2\\nosupersub{}","plainCitation":"2","noteIndex":0},"citationItems":[{"id":2096,"uris":["http://zotero.org/users/6108893/items/E9MVJ7TF"],"uri":["http://zotero.org/users/6108893/items/E9MVJ7TF"],"itemData":{"id":2096,"type":"article-journal","abstract":"Pseudomonas aeruginosa is a Gram-negative bacterium that can inhabit a wide variety of environments and infect different hosts. Human infections by this microbe are nowadays perceived as a major health problem due notably to its multiresistance. The present data set provides the first description of P. aeruginosa inner membrane proteome. To achieve this, we combined efficient separation of membranes from PAO1 reference strain using discontinuous sucrose gradient centrifugation and MS-based proteomic analysis. A core list of 991 nonredundant proteins was established and analyzed in terms of trans-membrane domains, signal peptide, and lipobox sequence prediction. Furthermore, functional insights into membrane-spanning and membrane-associated protein complexes have been explored. All mass spectrometry data have been deposited in the ProteomeXchange with identifier PXD000107.","container-title":"Proteomics","DOI":"10.1002/pmic.201200565","ISSN":"1615-9861","issue":"16","journalAbbreviation":"Proteomics","language":"eng","note":"PMID: 23744604","page":"2419-2423","source":"PubMed","title":"Proteomic characterization of Pseudomonas aeruginosa PAO1 inner membrane","volume":"13","author":[{"family":"Casabona","given":"Maria G."},{"family":"Vandenbrouck","given":"Yves"},{"family":"Attree","given":"Ina"},{"family":"Couté","given":"Yohann"}],"issued":{"date-parts":[["2013",8]]}}}],"schema":"https://github.com/citation-style-language/schema/raw/master/csl-citation.json"} </w:instrText>
      </w:r>
      <w:r w:rsidRPr="00156C75">
        <w:rPr>
          <w:rFonts w:ascii="Times New Roman" w:hAnsi="Times New Roman"/>
        </w:rPr>
        <w:fldChar w:fldCharType="separate"/>
      </w:r>
      <w:r w:rsidR="002B6974" w:rsidRPr="002B6974">
        <w:rPr>
          <w:rFonts w:ascii="Times New Roman" w:hAnsi="Times New Roman"/>
          <w:vertAlign w:val="superscript"/>
          <w:lang w:val="es-ES"/>
        </w:rPr>
        <w:t>2</w:t>
      </w:r>
      <w:r w:rsidRPr="00156C75">
        <w:rPr>
          <w:rFonts w:ascii="Times New Roman" w:hAnsi="Times New Roman"/>
        </w:rPr>
        <w:fldChar w:fldCharType="end"/>
      </w:r>
      <w:r w:rsidRPr="00156C75">
        <w:rPr>
          <w:rFonts w:ascii="Times New Roman" w:hAnsi="Times New Roman"/>
        </w:rPr>
        <w:t xml:space="preserve"> Briefly, proteins were in-gel digested using modified trypsin (sequencing grade, </w:t>
      </w:r>
      <w:proofErr w:type="spellStart"/>
      <w:r w:rsidRPr="00156C75">
        <w:rPr>
          <w:rFonts w:ascii="Times New Roman" w:hAnsi="Times New Roman"/>
        </w:rPr>
        <w:t>Promega</w:t>
      </w:r>
      <w:proofErr w:type="spellEnd"/>
      <w:r w:rsidRPr="00156C75">
        <w:rPr>
          <w:rFonts w:ascii="Times New Roman" w:hAnsi="Times New Roman"/>
        </w:rPr>
        <w:t xml:space="preserve"> Corporation, Madison, WI, USA), and resulting peptides were analyzed by online </w:t>
      </w:r>
      <w:proofErr w:type="spellStart"/>
      <w:r w:rsidRPr="00156C75">
        <w:rPr>
          <w:rFonts w:ascii="Times New Roman" w:hAnsi="Times New Roman"/>
        </w:rPr>
        <w:t>nanoLC</w:t>
      </w:r>
      <w:proofErr w:type="spellEnd"/>
      <w:r w:rsidRPr="00156C75">
        <w:rPr>
          <w:rFonts w:ascii="Times New Roman" w:hAnsi="Times New Roman"/>
        </w:rPr>
        <w:t>-MS/MS (</w:t>
      </w:r>
      <w:proofErr w:type="spellStart"/>
      <w:r w:rsidRPr="00156C75">
        <w:rPr>
          <w:rFonts w:ascii="Times New Roman" w:hAnsi="Times New Roman"/>
        </w:rPr>
        <w:t>UltiMate</w:t>
      </w:r>
      <w:proofErr w:type="spellEnd"/>
      <w:r w:rsidRPr="00156C75">
        <w:rPr>
          <w:rFonts w:ascii="Times New Roman" w:hAnsi="Times New Roman"/>
        </w:rPr>
        <w:t xml:space="preserve"> 3000 and Q-</w:t>
      </w:r>
      <w:proofErr w:type="spellStart"/>
      <w:r w:rsidRPr="00156C75">
        <w:rPr>
          <w:rFonts w:ascii="Times New Roman" w:hAnsi="Times New Roman"/>
        </w:rPr>
        <w:t>Exactive</w:t>
      </w:r>
      <w:proofErr w:type="spellEnd"/>
      <w:r w:rsidRPr="00156C75">
        <w:rPr>
          <w:rFonts w:ascii="Times New Roman" w:hAnsi="Times New Roman"/>
        </w:rPr>
        <w:t xml:space="preserve"> Plus, Thermo Fisher Scientific, Bremen, Germany) using a 75-min gradient. Peptides and proteins from different samples were identified using Mascot (version 2.6.0, Matrix Science, London, United Kingdom) through concomitant searches against the </w:t>
      </w:r>
      <w:proofErr w:type="spellStart"/>
      <w:r w:rsidRPr="00156C75">
        <w:rPr>
          <w:rFonts w:ascii="Times New Roman" w:hAnsi="Times New Roman"/>
        </w:rPr>
        <w:t>Uniprot</w:t>
      </w:r>
      <w:proofErr w:type="spellEnd"/>
      <w:r w:rsidRPr="00156C75">
        <w:rPr>
          <w:rFonts w:ascii="Times New Roman" w:hAnsi="Times New Roman"/>
        </w:rPr>
        <w:t xml:space="preserve"> database (</w:t>
      </w:r>
      <w:proofErr w:type="spellStart"/>
      <w:r w:rsidRPr="00156C75">
        <w:rPr>
          <w:rFonts w:ascii="Times New Roman" w:hAnsi="Times New Roman"/>
          <w:i/>
        </w:rPr>
        <w:t>Rattus</w:t>
      </w:r>
      <w:proofErr w:type="spellEnd"/>
      <w:r w:rsidRPr="00156C75">
        <w:rPr>
          <w:rFonts w:ascii="Times New Roman" w:hAnsi="Times New Roman"/>
          <w:i/>
        </w:rPr>
        <w:t xml:space="preserve"> </w:t>
      </w:r>
      <w:proofErr w:type="spellStart"/>
      <w:r w:rsidRPr="00156C75">
        <w:rPr>
          <w:rFonts w:ascii="Times New Roman" w:hAnsi="Times New Roman"/>
          <w:i/>
        </w:rPr>
        <w:t>norvegicus</w:t>
      </w:r>
      <w:proofErr w:type="spellEnd"/>
      <w:r w:rsidRPr="00156C75">
        <w:rPr>
          <w:rFonts w:ascii="Times New Roman" w:hAnsi="Times New Roman"/>
        </w:rPr>
        <w:t xml:space="preserve"> and </w:t>
      </w:r>
      <w:r w:rsidRPr="00156C75">
        <w:rPr>
          <w:rFonts w:ascii="Times New Roman" w:hAnsi="Times New Roman"/>
          <w:i/>
        </w:rPr>
        <w:t>Homo sapiens</w:t>
      </w:r>
      <w:r w:rsidRPr="00156C75">
        <w:rPr>
          <w:rFonts w:ascii="Times New Roman" w:hAnsi="Times New Roman"/>
        </w:rPr>
        <w:t xml:space="preserve"> AD169 taxonomies, October 2019 version), classical contaminant database and the corresponding reversed databases. The </w:t>
      </w:r>
      <w:proofErr w:type="spellStart"/>
      <w:r w:rsidRPr="00156C75">
        <w:rPr>
          <w:rFonts w:ascii="Times New Roman" w:hAnsi="Times New Roman"/>
        </w:rPr>
        <w:t>Proline</w:t>
      </w:r>
      <w:proofErr w:type="spellEnd"/>
      <w:r w:rsidRPr="00156C75">
        <w:rPr>
          <w:rFonts w:ascii="Times New Roman" w:hAnsi="Times New Roman"/>
        </w:rPr>
        <w:t xml:space="preserve"> </w:t>
      </w:r>
      <w:proofErr w:type="spellStart"/>
      <w:r w:rsidRPr="00156C75">
        <w:rPr>
          <w:rFonts w:ascii="Times New Roman" w:hAnsi="Times New Roman"/>
        </w:rPr>
        <w:t>software</w:t>
      </w:r>
      <w:proofErr w:type="gramStart"/>
      <w:r w:rsidRPr="00156C75">
        <w:rPr>
          <w:rFonts w:ascii="Times New Roman" w:hAnsi="Times New Roman"/>
        </w:rPr>
        <w:t>,</w:t>
      </w:r>
      <w:r w:rsidR="00DA6F16">
        <w:rPr>
          <w:rFonts w:ascii="Times New Roman" w:hAnsi="Times New Roman"/>
          <w:vertAlign w:val="superscript"/>
        </w:rPr>
        <w:t>e</w:t>
      </w:r>
      <w:proofErr w:type="spellEnd"/>
      <w:proofErr w:type="gramEnd"/>
      <w:r w:rsidRPr="00156C75">
        <w:rPr>
          <w:rFonts w:ascii="Times New Roman" w:hAnsi="Times New Roman"/>
        </w:rPr>
        <w:fldChar w:fldCharType="begin"/>
      </w:r>
      <w:r w:rsidR="002B6974">
        <w:rPr>
          <w:rFonts w:ascii="Times New Roman" w:hAnsi="Times New Roman"/>
        </w:rPr>
        <w:instrText xml:space="preserve"> ADDIN ZOTERO_ITEM CSL_CITATION {"citationID":"3Wgl8jbF","properties":{"formattedCitation":"\\super 3\\nosupersub{}","plainCitation":"3","noteIndex":0},"citationItems":[{"id":2515,"uris":["http://zotero.org/users/6108893/items/ZHS4Z49P"],"uri":["http://zotero.org/users/6108893/items/ZHS4Z49P"],"itemData":{"id":2515,"type":"article-journal","abstract":"MOTIVATION: The proteomics field requires the production and publication of reliable mass spectrometry-based identification and quantification results. Although many tools or algorithms exist, very few consider the importance of combining, in a unique software environment, efficient processing algorithms and a data management system to process and curate hundreds of datasets associated with a single proteomics study.\nRESULTS: Here, we present Proline, a robust software suite for analysis of MS-based proteomics data, which collects, processes and allows visualization and publication of proteomics datasets. We illustrate its ease of use for various steps in the validation and quantification workflow, its data curation capabilities and its computational efficiency. The DDA label-free quantification workflow efficiency was assessed by comparing results obtained with Proline to those obtained with a widely used software using a spiked-in sample. This assessment demonstrated Proline's ability to provide high quantification accuracy in a user-friendly interface for datasets of any size.\nAVAILABILITY AND IMPLEMENTATION: Proline is available for Windows and Linux under CECILL open-source license. It can be deployed in client-server mode or in standalone mode at http://proline.profiproteomics.fr/#downloads.\nSUPPLEMENTARY INFORMATION: Supplementary data are available at Bioinformatics online.","container-title":"Bioinformatics (Oxford, England)","DOI":"10.1093/bioinformatics/btaa118","ISSN":"1367-4811","issue":"10","journalAbbreviation":"Bioinformatics","language":"eng","note":"PMID: 32096818\nPMCID: PMC7214047","page":"3148-3155","source":"PubMed","title":"Proline: an efficient and user-friendly software suite for large-scale proteomics","title-short":"Proline","volume":"36","author":[{"family":"Bouyssié","given":"David"},{"family":"Hesse","given":"Anne-Marie"},{"family":"Mouton-Barbosa","given":"Emmanuelle"},{"family":"Rompais","given":"Magali"},{"family":"Macron","given":"Charlotte"},{"family":"Carapito","given":"Christine"},{"family":"Gonzalez de Peredo","given":"Anne"},{"family":"Couté","given":"Yohann"},{"family":"Dupierris","given":"Véronique"},{"family":"Burel","given":"Alexandre"},{"family":"Menetrey","given":"Jean-Philippe"},{"family":"Kalaitzakis","given":"Andrea"},{"family":"Poisat","given":"Julie"},{"family":"Romdhani","given":"Aymen"},{"family":"Burlet-Schiltz","given":"Odile"},{"family":"Cianférani","given":"Sarah"},{"family":"Garin","given":"Jerome"},{"family":"Bruley","given":"Christophe"}],"issued":{"date-parts":[["2020",5,1]]}}}],"schema":"https://github.com/citation-style-language/schema/raw/master/csl-citation.json"} </w:instrText>
      </w:r>
      <w:r w:rsidRPr="00156C75">
        <w:rPr>
          <w:rFonts w:ascii="Times New Roman" w:hAnsi="Times New Roman"/>
        </w:rPr>
        <w:fldChar w:fldCharType="separate"/>
      </w:r>
      <w:r w:rsidR="002B6974" w:rsidRPr="002B6974">
        <w:rPr>
          <w:rFonts w:ascii="Times New Roman" w:hAnsi="Times New Roman"/>
          <w:vertAlign w:val="superscript"/>
          <w:lang w:val="es-ES"/>
        </w:rPr>
        <w:t>3</w:t>
      </w:r>
      <w:r w:rsidRPr="00156C75">
        <w:rPr>
          <w:rFonts w:ascii="Times New Roman" w:hAnsi="Times New Roman"/>
        </w:rPr>
        <w:fldChar w:fldCharType="end"/>
      </w:r>
      <w:r w:rsidRPr="00156C75">
        <w:rPr>
          <w:rFonts w:ascii="Times New Roman" w:hAnsi="Times New Roman"/>
        </w:rPr>
        <w:t xml:space="preserve"> was used to filter the results and compile, group, and compare the protein groups identified in each sample. </w:t>
      </w:r>
    </w:p>
    <w:p w14:paraId="326F0533" w14:textId="77777777" w:rsidR="00E8587A" w:rsidRPr="00156C75" w:rsidRDefault="00E8587A" w:rsidP="00E8587A">
      <w:pPr>
        <w:widowControl w:val="0"/>
        <w:autoSpaceDE w:val="0"/>
        <w:autoSpaceDN w:val="0"/>
        <w:adjustRightInd w:val="0"/>
        <w:spacing w:after="0" w:line="360" w:lineRule="auto"/>
        <w:ind w:firstLine="720"/>
        <w:rPr>
          <w:rFonts w:ascii="Times New Roman" w:hAnsi="Times New Roman"/>
          <w:vertAlign w:val="superscript"/>
        </w:rPr>
      </w:pPr>
    </w:p>
    <w:p w14:paraId="68274BC5" w14:textId="77777777" w:rsidR="00E8587A" w:rsidRPr="00156C75" w:rsidRDefault="00E8587A" w:rsidP="00E8587A">
      <w:pPr>
        <w:widowControl w:val="0"/>
        <w:autoSpaceDE w:val="0"/>
        <w:autoSpaceDN w:val="0"/>
        <w:adjustRightInd w:val="0"/>
        <w:spacing w:after="0" w:line="360" w:lineRule="auto"/>
        <w:rPr>
          <w:rFonts w:ascii="Times New Roman" w:hAnsi="Times New Roman"/>
        </w:rPr>
      </w:pPr>
      <w:r w:rsidRPr="00156C75">
        <w:rPr>
          <w:rFonts w:ascii="Times New Roman" w:hAnsi="Times New Roman"/>
          <w:b/>
        </w:rPr>
        <w:t>Protein microarrays</w:t>
      </w:r>
      <w:r w:rsidRPr="00156C75">
        <w:rPr>
          <w:rFonts w:ascii="Times New Roman" w:hAnsi="Times New Roman"/>
        </w:rPr>
        <w:t xml:space="preserve"> </w:t>
      </w:r>
    </w:p>
    <w:p w14:paraId="4692A107" w14:textId="7D7B9FCA" w:rsidR="00E8587A" w:rsidRPr="00156C75" w:rsidRDefault="00E8587A" w:rsidP="00E8587A">
      <w:pPr>
        <w:widowControl w:val="0"/>
        <w:autoSpaceDE w:val="0"/>
        <w:autoSpaceDN w:val="0"/>
        <w:adjustRightInd w:val="0"/>
        <w:spacing w:after="0" w:line="360" w:lineRule="auto"/>
        <w:ind w:firstLine="720"/>
        <w:rPr>
          <w:rFonts w:ascii="Times New Roman" w:hAnsi="Times New Roman"/>
        </w:rPr>
      </w:pPr>
      <w:r w:rsidRPr="00156C75">
        <w:rPr>
          <w:rFonts w:ascii="Times New Roman" w:hAnsi="Times New Roman"/>
        </w:rPr>
        <w:t xml:space="preserve">Sera from 34 patients with peripheral neuropathies (12 with SNN, 22 with other peripheral neuropathies) and 9 healthy controls were prepared as previously </w:t>
      </w:r>
      <w:proofErr w:type="spellStart"/>
      <w:r w:rsidRPr="00156C75">
        <w:rPr>
          <w:rFonts w:ascii="Times New Roman" w:hAnsi="Times New Roman"/>
        </w:rPr>
        <w:t>described</w:t>
      </w:r>
      <w:proofErr w:type="gramStart"/>
      <w:r w:rsidRPr="00156C75">
        <w:rPr>
          <w:rFonts w:ascii="Times New Roman" w:hAnsi="Times New Roman"/>
        </w:rPr>
        <w:t>,</w:t>
      </w:r>
      <w:r w:rsidR="00DA6F16">
        <w:rPr>
          <w:rFonts w:ascii="Times New Roman" w:hAnsi="Times New Roman"/>
          <w:vertAlign w:val="superscript"/>
        </w:rPr>
        <w:t>e</w:t>
      </w:r>
      <w:proofErr w:type="spellEnd"/>
      <w:proofErr w:type="gramEnd"/>
      <w:r w:rsidRPr="00156C75">
        <w:rPr>
          <w:rFonts w:ascii="Times New Roman" w:hAnsi="Times New Roman"/>
        </w:rPr>
        <w:fldChar w:fldCharType="begin"/>
      </w:r>
      <w:r w:rsidR="002B6974">
        <w:rPr>
          <w:rFonts w:ascii="Times New Roman" w:hAnsi="Times New Roman"/>
        </w:rPr>
        <w:instrText xml:space="preserve"> ADDIN ZOTERO_ITEM CSL_CITATION {"citationID":"tuPO5Lqn","properties":{"formattedCitation":"\\super 4\\nosupersub{}","plainCitation":"4","noteIndex":0},"citationItems":[{"id":2029,"uris":["http://zotero.org/users/6108893/items/C7ZMSWKG"],"uri":["http://zotero.org/users/6108893/items/C7ZMSWKG"],"itemData":{"id":2029,"type":"article-journal","abstract":"Indirect enzyme-linked immunosorbent assay (ELISA) is an important diagnostic method as it enables the quantification of the presence of autoantibodies in human blood sera. However, unspecific binding of antibodies to the solid phase causes considerable serum-specific background noise (SSBN), involving the risk of false positive diagnosis. Therefore, we present a simple and concise, yet obvious proof-of-principle of a recently suggested normalization method. The method is based on subtracting SSBN by using non-coated ELISA wells as a control for each serum-of-interest. We performed ELISA to quantify anti-fibroblast growth factor receptor 3 (FGFR3) antibody levels in three positive controls (two anti-FGFR3-positive patients and a rabbit antiserum against FGFR3) and 58 negative controls (healthy blood donors). In all subjects, we found considerable unspecific reactivity which strongly varied among subjects. The conventional normalization method was not able to balance this strong SSBN, as demonstrated by 2/58 false positive healthy controls and one FGFR3-positive patient that was hidden in the noise (false negative). SSBN normalization reduced the frequency of false-positives to 0/58. Further, all three anti-FGFR3-positive sera were successfully detected and even doubled their z-score used to determine positivity. Albeit occupying more space on the ELISA plate, we strongly recommend considering this normalization method when working with blood sera. To better put the idea across to the community, we depict the SSBN issue and its solution in a graphic scheme. We conclude that SSBN normalization increases the sensitivity and specificity of indirect ELISA and thereby reduces the risk of false positive and false negative diagnosis. © 2019. Licensed under the Creative Commons [CC BY-NC 4.0 licence, https://doi.org/10.1016/j.jim.2019.01.004].","container-title":"Journal of Immunological Methods","DOI":"10.1016/j.jim.2019.01.004","ISSN":"1872-7905","journalAbbreviation":"J. Immunol. Methods","language":"eng","note":"PMID: 30654043","page":"52-56","source":"PubMed","title":"Reducing the risk of misdiagnosis of indirect ELISA by normalizing serum-specific background noise: The example of detecting anti-FGFR3 autoantibodies","title-short":"Reducing the risk of misdiagnosis of indirect ELISA by normalizing serum-specific background noise","volume":"466","author":[{"family":"Moritz","given":"Christian P."},{"family":"Tholance","given":"Yannick"},{"family":"Lassablière","given":"François"},{"family":"Camdessanché","given":"Jean-Philippe"},{"family":"Antoine","given":"Jean-Christophe"}],"issued":{"date-parts":[["2019"]]}}}],"schema":"https://github.com/citation-style-language/schema/raw/master/csl-citation.json"} </w:instrText>
      </w:r>
      <w:r w:rsidRPr="00156C75">
        <w:rPr>
          <w:rFonts w:ascii="Times New Roman" w:hAnsi="Times New Roman"/>
        </w:rPr>
        <w:fldChar w:fldCharType="separate"/>
      </w:r>
      <w:r w:rsidR="002B6974" w:rsidRPr="002B6974">
        <w:rPr>
          <w:rFonts w:ascii="Times New Roman" w:hAnsi="Times New Roman"/>
          <w:vertAlign w:val="superscript"/>
          <w:lang w:val="es-ES"/>
        </w:rPr>
        <w:t>4</w:t>
      </w:r>
      <w:r w:rsidRPr="00156C75">
        <w:rPr>
          <w:rFonts w:ascii="Times New Roman" w:hAnsi="Times New Roman"/>
        </w:rPr>
        <w:fldChar w:fldCharType="end"/>
      </w:r>
      <w:r w:rsidRPr="00156C75">
        <w:rPr>
          <w:rFonts w:ascii="Times New Roman" w:hAnsi="Times New Roman"/>
        </w:rPr>
        <w:t xml:space="preserve"> and then tested on </w:t>
      </w:r>
      <w:proofErr w:type="spellStart"/>
      <w:r w:rsidRPr="00156C75">
        <w:rPr>
          <w:rFonts w:ascii="Times New Roman" w:hAnsi="Times New Roman"/>
        </w:rPr>
        <w:t>HuProt</w:t>
      </w:r>
      <w:proofErr w:type="spellEnd"/>
      <w:r w:rsidRPr="00156C75">
        <w:rPr>
          <w:rFonts w:ascii="Times New Roman" w:hAnsi="Times New Roman"/>
        </w:rPr>
        <w:t xml:space="preserve">™ 3.1™ human proteome microarrays (CDI Laboratories, Baltimore, MD, USA) and analyzed as previously </w:t>
      </w:r>
      <w:proofErr w:type="spellStart"/>
      <w:r w:rsidRPr="00156C75">
        <w:rPr>
          <w:rFonts w:ascii="Times New Roman" w:hAnsi="Times New Roman"/>
        </w:rPr>
        <w:t>reported.</w:t>
      </w:r>
      <w:r w:rsidR="00DA6F16">
        <w:rPr>
          <w:rFonts w:ascii="Times New Roman" w:hAnsi="Times New Roman"/>
          <w:vertAlign w:val="superscript"/>
        </w:rPr>
        <w:t>e</w:t>
      </w:r>
      <w:proofErr w:type="spellEnd"/>
      <w:r w:rsidRPr="00156C75">
        <w:rPr>
          <w:rFonts w:ascii="Times New Roman" w:hAnsi="Times New Roman"/>
        </w:rPr>
        <w:fldChar w:fldCharType="begin"/>
      </w:r>
      <w:r w:rsidR="002B6974">
        <w:rPr>
          <w:rFonts w:ascii="Times New Roman" w:hAnsi="Times New Roman"/>
        </w:rPr>
        <w:instrText xml:space="preserve"> ADDIN ZOTERO_ITEM CSL_CITATION {"citationID":"jWEsLKyo","properties":{"formattedCitation":"\\super 5\\nosupersub{}","plainCitation":"5","noteIndex":0},"citationItems":[{"id":2539,"uris":["http://zotero.org/users/6108893/items/KCVJSX9K"],"uri":["http://zotero.org/users/6108893/items/KCVJSX9K"],"itemData":{"id":2539,"type":"article-journal","abstract":"Autoimmune diseases are frequently associated with autoantibodies. Recently, large sets of autoantibody-targeted antigens (“autoantigen-omes”) of patient and control sera have been revealed, enabling autoantigen-omic approaches. However, statistical standards for defining such autoantigen-omes are lacking. The z-score indicates how many standard deviations an antigen reactivity of a given sample is from the mean reactivity of the corresponding antigen in a reference group. Hence, it is a common measure to define significantly positive reactivity in autoantigen profiling approaches. Here, we address the risk of biased analyses resulting from unbalanced selection of the reference group. Three study groups were selected. Patients-of-interest were chronic inflammatory demyelinating polyneuropathy (CIDP); controls were other neuropathies (ONP); and healthy controls (HC). Each serum was screened for significant autoantigen reactivity using HuProt™ protein arrays. We compared three possible selections of reference groups for statistical z-score calculations: method#1, the control groups (ONP + HC); method #2, all groups together; method #3, the respective other groups (e.g., CIDP + HC for the ONP autoantigen-ome). The method selection seriously affected the size of the autoantigen-omes. Method #1 introduced a bias favoring significantly more antigens per patient in the CIDP group (for z &gt;4: 19 ± 3 antigens) than in the control groups (ONP: 2 ± 1; HC: 0 ± 0). The more balanced methods #2 and #3 did not result in significant differences. This contribution may help to avoid interpretation biases and to develop guidelines for population studies revealing autoantigen-omes via high throughput studies such as protein microarrays, immunoprecipitation with mass spectrometry, or phage display assays.","container-title":"New Biotechnology","DOI":"10.1016/j.nbt.2020.08.007","ISSN":"1871-6784","journalAbbreviation":"New Biotechnology","language":"en","source":"ScienceDirect","title":"Proper definition of the set of autoantibody-targeted antigens relies on appropriate reference group selection","URL":"http://www.sciencedirect.com/science/article/pii/S1871678420301758","author":[{"family":"Moritz","given":"Christian P."},{"family":"Stoevesandt","given":"Oda"},{"family":"Tholance","given":"Yannick"},{"family":"Camdessanché","given":"Jean-Philippe"},{"family":"Antoine","given":"Jean-Christophe"}],"accessed":{"date-parts":[["2020",10,12]]},"issued":{"date-parts":[["2020",10,9]]}}}],"schema":"https://github.com/citation-style-language/schema/raw/master/csl-citation.json"} </w:instrText>
      </w:r>
      <w:r w:rsidRPr="00156C75">
        <w:rPr>
          <w:rFonts w:ascii="Times New Roman" w:hAnsi="Times New Roman"/>
        </w:rPr>
        <w:fldChar w:fldCharType="separate"/>
      </w:r>
      <w:r w:rsidR="002B6974" w:rsidRPr="002B6974">
        <w:rPr>
          <w:rFonts w:ascii="Times New Roman" w:hAnsi="Times New Roman"/>
          <w:vertAlign w:val="superscript"/>
          <w:lang w:val="es-ES"/>
        </w:rPr>
        <w:t>5</w:t>
      </w:r>
      <w:r w:rsidRPr="00156C75">
        <w:rPr>
          <w:rFonts w:ascii="Times New Roman" w:hAnsi="Times New Roman"/>
        </w:rPr>
        <w:fldChar w:fldCharType="end"/>
      </w:r>
      <w:r w:rsidRPr="00156C75">
        <w:rPr>
          <w:rFonts w:ascii="Times New Roman" w:hAnsi="Times New Roman"/>
        </w:rPr>
        <w:t xml:space="preserve"> Briefly, the arrays were blocked, and sera were incubated for 2 h at room temperature at a 1:1,000 dilution. After washing, bound </w:t>
      </w:r>
      <w:proofErr w:type="spellStart"/>
      <w:r w:rsidRPr="00156C75">
        <w:rPr>
          <w:rFonts w:ascii="Times New Roman" w:hAnsi="Times New Roman"/>
        </w:rPr>
        <w:t>IgG</w:t>
      </w:r>
      <w:proofErr w:type="spellEnd"/>
      <w:r w:rsidRPr="00156C75">
        <w:rPr>
          <w:rFonts w:ascii="Times New Roman" w:hAnsi="Times New Roman"/>
        </w:rPr>
        <w:t xml:space="preserve"> were revealed with Alexa546-labelled polyclonal goat anti-human </w:t>
      </w:r>
      <w:proofErr w:type="spellStart"/>
      <w:proofErr w:type="gramStart"/>
      <w:r w:rsidRPr="00156C75">
        <w:rPr>
          <w:rFonts w:ascii="Times New Roman" w:hAnsi="Times New Roman"/>
        </w:rPr>
        <w:t>IgG</w:t>
      </w:r>
      <w:proofErr w:type="spellEnd"/>
      <w:r w:rsidRPr="00156C75">
        <w:rPr>
          <w:rFonts w:ascii="Times New Roman" w:hAnsi="Times New Roman"/>
        </w:rPr>
        <w:t>(</w:t>
      </w:r>
      <w:proofErr w:type="gramEnd"/>
      <w:r w:rsidRPr="00156C75">
        <w:rPr>
          <w:rFonts w:ascii="Times New Roman" w:hAnsi="Times New Roman"/>
        </w:rPr>
        <w:t>H+L) antibodies (Invitrogen, Cat. A21089, Renfrew, UK)</w:t>
      </w:r>
      <w:r w:rsidRPr="00156C75">
        <w:t xml:space="preserve"> </w:t>
      </w:r>
      <w:r w:rsidRPr="00156C75">
        <w:rPr>
          <w:rFonts w:ascii="Times New Roman" w:hAnsi="Times New Roman"/>
        </w:rPr>
        <w:t>and stained in parallel with goat anti-GST-650 to reveal all the proteins (tagged with glutathione S-</w:t>
      </w:r>
      <w:proofErr w:type="spellStart"/>
      <w:r w:rsidRPr="00156C75">
        <w:rPr>
          <w:rFonts w:ascii="Times New Roman" w:hAnsi="Times New Roman"/>
        </w:rPr>
        <w:t>transferase</w:t>
      </w:r>
      <w:proofErr w:type="spellEnd"/>
      <w:r w:rsidRPr="00156C75">
        <w:rPr>
          <w:rFonts w:ascii="Times New Roman" w:hAnsi="Times New Roman"/>
        </w:rPr>
        <w:t xml:space="preserve"> GST). The slides were scanned with a </w:t>
      </w:r>
      <w:proofErr w:type="spellStart"/>
      <w:r w:rsidRPr="00156C75">
        <w:rPr>
          <w:rFonts w:ascii="Times New Roman" w:hAnsi="Times New Roman"/>
        </w:rPr>
        <w:t>Tecan</w:t>
      </w:r>
      <w:proofErr w:type="spellEnd"/>
      <w:r w:rsidRPr="00156C75">
        <w:rPr>
          <w:rFonts w:ascii="Times New Roman" w:hAnsi="Times New Roman"/>
        </w:rPr>
        <w:t xml:space="preserve"> LS400 microarray scanner (</w:t>
      </w:r>
      <w:proofErr w:type="spellStart"/>
      <w:r w:rsidRPr="00156C75">
        <w:rPr>
          <w:rFonts w:ascii="Times New Roman" w:hAnsi="Times New Roman"/>
        </w:rPr>
        <w:t>Tecan</w:t>
      </w:r>
      <w:proofErr w:type="spellEnd"/>
      <w:r w:rsidRPr="00156C75">
        <w:rPr>
          <w:rFonts w:ascii="Times New Roman" w:hAnsi="Times New Roman"/>
        </w:rPr>
        <w:t xml:space="preserve"> Systems, </w:t>
      </w:r>
      <w:proofErr w:type="spellStart"/>
      <w:r w:rsidRPr="00156C75">
        <w:rPr>
          <w:rFonts w:ascii="Times New Roman" w:hAnsi="Times New Roman"/>
        </w:rPr>
        <w:t>Theale</w:t>
      </w:r>
      <w:proofErr w:type="spellEnd"/>
      <w:r w:rsidRPr="00156C75">
        <w:rPr>
          <w:rFonts w:ascii="Times New Roman" w:hAnsi="Times New Roman"/>
        </w:rPr>
        <w:t xml:space="preserve">, UK) and the images analyzed with </w:t>
      </w:r>
      <w:proofErr w:type="spellStart"/>
      <w:r w:rsidRPr="00156C75">
        <w:rPr>
          <w:rFonts w:ascii="Times New Roman" w:hAnsi="Times New Roman"/>
        </w:rPr>
        <w:t>GenePix</w:t>
      </w:r>
      <w:proofErr w:type="spellEnd"/>
      <w:r w:rsidRPr="00156C75">
        <w:rPr>
          <w:rFonts w:ascii="Times New Roman" w:hAnsi="Times New Roman"/>
        </w:rPr>
        <w:t xml:space="preserve"> Pro (Molecular Devices, San Jose, CA, USA). A standard normalization between subjects (z-score statistics) was used to compare the </w:t>
      </w:r>
      <w:proofErr w:type="spellStart"/>
      <w:r w:rsidRPr="00156C75">
        <w:rPr>
          <w:rFonts w:ascii="Times New Roman" w:hAnsi="Times New Roman"/>
        </w:rPr>
        <w:t>reactivities</w:t>
      </w:r>
      <w:proofErr w:type="spellEnd"/>
      <w:r w:rsidRPr="00156C75">
        <w:rPr>
          <w:rFonts w:ascii="Times New Roman" w:hAnsi="Times New Roman"/>
        </w:rPr>
        <w:t xml:space="preserve"> of each antigen among the samples. A z-score cutoff of 4 standard deviations above the controls and a specificity of 100% (i.e., absent in all controls) were applied to identify antigen candidates. </w:t>
      </w:r>
    </w:p>
    <w:p w14:paraId="023868EE" w14:textId="77777777" w:rsidR="00E8587A" w:rsidRPr="00156C75" w:rsidRDefault="00E8587A" w:rsidP="00E8587A">
      <w:pPr>
        <w:widowControl w:val="0"/>
        <w:autoSpaceDE w:val="0"/>
        <w:autoSpaceDN w:val="0"/>
        <w:adjustRightInd w:val="0"/>
        <w:spacing w:after="0" w:line="360" w:lineRule="auto"/>
        <w:rPr>
          <w:rFonts w:ascii="Times New Roman" w:hAnsi="Times New Roman"/>
        </w:rPr>
      </w:pPr>
    </w:p>
    <w:p w14:paraId="491E2EB4" w14:textId="77777777" w:rsidR="00E8587A" w:rsidRPr="00156C75" w:rsidRDefault="00E8587A" w:rsidP="00E8587A">
      <w:pPr>
        <w:widowControl w:val="0"/>
        <w:autoSpaceDE w:val="0"/>
        <w:autoSpaceDN w:val="0"/>
        <w:adjustRightInd w:val="0"/>
        <w:spacing w:after="0" w:line="360" w:lineRule="auto"/>
        <w:rPr>
          <w:rFonts w:ascii="Times New Roman" w:hAnsi="Times New Roman"/>
          <w:b/>
        </w:rPr>
      </w:pPr>
      <w:r w:rsidRPr="00156C75">
        <w:rPr>
          <w:rFonts w:ascii="Times New Roman" w:hAnsi="Times New Roman"/>
          <w:b/>
        </w:rPr>
        <w:t xml:space="preserve">Cell-based assay </w:t>
      </w:r>
    </w:p>
    <w:p w14:paraId="25F28ABC" w14:textId="5155969F" w:rsidR="00E8587A" w:rsidRPr="00156C75" w:rsidRDefault="00E8587A" w:rsidP="00E8587A">
      <w:pPr>
        <w:widowControl w:val="0"/>
        <w:autoSpaceDE w:val="0"/>
        <w:autoSpaceDN w:val="0"/>
        <w:adjustRightInd w:val="0"/>
        <w:spacing w:after="0" w:line="360" w:lineRule="auto"/>
        <w:ind w:firstLine="720"/>
        <w:rPr>
          <w:rFonts w:ascii="Times New Roman" w:hAnsi="Times New Roman"/>
        </w:rPr>
      </w:pPr>
      <w:r w:rsidRPr="00156C75">
        <w:rPr>
          <w:rFonts w:ascii="Times New Roman" w:hAnsi="Times New Roman"/>
        </w:rPr>
        <w:t xml:space="preserve">To screen a large cohort for AGO-Abs, samples were firstly tested on AGO1 and AGO2-CBA; positive samples were then assayed on AGO3 and AGO4-CBA. HEK293 cells were transfected with VP5-HA-AGO1, VP5-HA-AGO2, VP5-HA-AGO3, VP5-HA-AGO4, VP5-HA-trinucleotide repeat containing 6A (TNRC6A), VP5-HA-TNRC6B, or VP5-HA-TNRC6C plasmid (kindly gifted by Professor Gunter Meister, University of Regensburg, Germany) for a transient </w:t>
      </w:r>
      <w:proofErr w:type="spellStart"/>
      <w:r w:rsidRPr="00156C75">
        <w:rPr>
          <w:rFonts w:ascii="Times New Roman" w:hAnsi="Times New Roman"/>
        </w:rPr>
        <w:t>overexpression.</w:t>
      </w:r>
      <w:r w:rsidR="00DA6F16">
        <w:rPr>
          <w:rFonts w:ascii="Times New Roman" w:hAnsi="Times New Roman"/>
          <w:vertAlign w:val="superscript"/>
        </w:rPr>
        <w:t>e</w:t>
      </w:r>
      <w:proofErr w:type="spellEnd"/>
      <w:r w:rsidRPr="00156C75">
        <w:rPr>
          <w:rFonts w:ascii="Times New Roman" w:hAnsi="Times New Roman"/>
        </w:rPr>
        <w:fldChar w:fldCharType="begin"/>
      </w:r>
      <w:r w:rsidR="002B6974">
        <w:rPr>
          <w:rFonts w:ascii="Times New Roman" w:hAnsi="Times New Roman"/>
        </w:rPr>
        <w:instrText xml:space="preserve"> ADDIN ZOTERO_ITEM CSL_CITATION {"citationID":"zzeciJm2","properties":{"formattedCitation":"\\super 6\\nosupersub{}","plainCitation":"6","noteIndex":0},"citationItems":[{"id":2521,"uris":["http://zotero.org/users/6108893/items/2RJNTLA7"],"uri":["http://zotero.org/users/6108893/items/2RJNTLA7"],"itemData":{"id":2521,"type":"article-journal","abstract":"Argonaute proteins associate with small RNAs that guide mRNA degradation, translational repression, or a combination of both. The human Argonaute family has eight members, four of which (Ago1 through Ago4) are closely related and coexpressed in many cell types. To understand the biological function of the different Ago proteins, we set out to determine if Ago1 through Ago4 are associated with miRNAs as well as RISC activity in human cell lines. Our results suggest that miRNAs are incorporated indiscriminately of their sequence into Ago1 through Ago4 containing microRNPs (miRNPs). Purification of the FLAG/HA-epitope-tagged Ago containing complexes from different human cell lines revealed that endonuclease activity is exclusively associated with Ago2. Exogenously introduced siRNAs also associate with Ago2 for guiding target RNA cleavage. The specific role of Ago2 in guiding target RNA cleavage was confirmed independently by siRNA-based depletion of individual Ago members in combination with a sensitive positive-readout reporter assay.","container-title":"Molecular Cell","DOI":"10.1016/j.molcel.2004.07.007","ISSN":"1097-2765","issue":"2","journalAbbreviation":"Mol. Cell","language":"eng","note":"PMID: 15260970","page":"185-197","source":"PubMed","title":"Human Argonaute2 mediates RNA cleavage targeted by miRNAs and siRNAs","volume":"15","author":[{"family":"Meister","given":"Gunter"},{"family":"Landthaler","given":"Markus"},{"family":"Patkaniowska","given":"Agnieszka"},{"family":"Dorsett","given":"Yair"},{"family":"Teng","given":"Grace"},{"family":"Tuschl","given":"Thomas"}],"issued":{"date-parts":[["2004",7,23]]}}}],"schema":"https://github.com/citation-style-language/schema/raw/master/csl-citation.json"} </w:instrText>
      </w:r>
      <w:r w:rsidRPr="00156C75">
        <w:rPr>
          <w:rFonts w:ascii="Times New Roman" w:hAnsi="Times New Roman"/>
        </w:rPr>
        <w:fldChar w:fldCharType="separate"/>
      </w:r>
      <w:r w:rsidR="002B6974" w:rsidRPr="002B6974">
        <w:rPr>
          <w:rFonts w:ascii="Times New Roman" w:hAnsi="Times New Roman"/>
          <w:vertAlign w:val="superscript"/>
          <w:lang w:val="es-ES"/>
        </w:rPr>
        <w:t>6</w:t>
      </w:r>
      <w:r w:rsidRPr="00156C75">
        <w:rPr>
          <w:rFonts w:ascii="Times New Roman" w:hAnsi="Times New Roman"/>
        </w:rPr>
        <w:fldChar w:fldCharType="end"/>
      </w:r>
      <w:r w:rsidRPr="00156C75">
        <w:rPr>
          <w:rFonts w:ascii="Times New Roman" w:hAnsi="Times New Roman"/>
        </w:rPr>
        <w:t xml:space="preserve"> TNRC6s genes were cloned in the same plasmid as AGOs via </w:t>
      </w:r>
      <w:proofErr w:type="spellStart"/>
      <w:r w:rsidRPr="00156C75">
        <w:rPr>
          <w:rFonts w:ascii="Times New Roman" w:hAnsi="Times New Roman"/>
        </w:rPr>
        <w:t>FseI</w:t>
      </w:r>
      <w:proofErr w:type="spellEnd"/>
      <w:r w:rsidRPr="00156C75">
        <w:rPr>
          <w:rFonts w:ascii="Times New Roman" w:hAnsi="Times New Roman"/>
        </w:rPr>
        <w:t xml:space="preserve"> and </w:t>
      </w:r>
      <w:proofErr w:type="spellStart"/>
      <w:r w:rsidRPr="00156C75">
        <w:rPr>
          <w:rFonts w:ascii="Times New Roman" w:hAnsi="Times New Roman"/>
        </w:rPr>
        <w:t>AscI</w:t>
      </w:r>
      <w:proofErr w:type="spellEnd"/>
      <w:r w:rsidRPr="00156C75">
        <w:rPr>
          <w:rFonts w:ascii="Times New Roman" w:hAnsi="Times New Roman"/>
        </w:rPr>
        <w:t xml:space="preserve"> restriction sites. Fixed and </w:t>
      </w:r>
      <w:proofErr w:type="spellStart"/>
      <w:r w:rsidRPr="00156C75">
        <w:rPr>
          <w:rFonts w:ascii="Times New Roman" w:hAnsi="Times New Roman"/>
        </w:rPr>
        <w:t>permeabilized</w:t>
      </w:r>
      <w:proofErr w:type="spellEnd"/>
      <w:r w:rsidRPr="00156C75">
        <w:rPr>
          <w:rFonts w:ascii="Times New Roman" w:hAnsi="Times New Roman"/>
        </w:rPr>
        <w:t xml:space="preserve"> cells were then </w:t>
      </w:r>
      <w:proofErr w:type="spellStart"/>
      <w:r w:rsidRPr="00156C75">
        <w:rPr>
          <w:rFonts w:ascii="Times New Roman" w:hAnsi="Times New Roman"/>
        </w:rPr>
        <w:t>immunostained</w:t>
      </w:r>
      <w:proofErr w:type="spellEnd"/>
      <w:r w:rsidRPr="00156C75">
        <w:rPr>
          <w:rFonts w:ascii="Times New Roman" w:hAnsi="Times New Roman"/>
        </w:rPr>
        <w:t xml:space="preserve"> as previously </w:t>
      </w:r>
      <w:proofErr w:type="spellStart"/>
      <w:r w:rsidRPr="00156C75">
        <w:rPr>
          <w:rFonts w:ascii="Times New Roman" w:hAnsi="Times New Roman"/>
        </w:rPr>
        <w:t>described</w:t>
      </w:r>
      <w:r w:rsidR="00DA6F16">
        <w:rPr>
          <w:rFonts w:ascii="Times New Roman" w:hAnsi="Times New Roman"/>
          <w:vertAlign w:val="superscript"/>
        </w:rPr>
        <w:t>e</w:t>
      </w:r>
      <w:proofErr w:type="spellEnd"/>
      <w:r w:rsidRPr="00156C75">
        <w:rPr>
          <w:rFonts w:ascii="Times New Roman" w:hAnsi="Times New Roman"/>
        </w:rPr>
        <w:fldChar w:fldCharType="begin"/>
      </w:r>
      <w:r w:rsidR="002B6974">
        <w:rPr>
          <w:rFonts w:ascii="Times New Roman" w:hAnsi="Times New Roman"/>
        </w:rPr>
        <w:instrText xml:space="preserve"> ADDIN ZOTERO_ITEM CSL_CITATION {"citationID":"nHiIE4uF","properties":{"formattedCitation":"\\super 1\\nosupersub{}","plainCitation":"1","noteIndex":0},"citationItems":[{"id":2172,"uris":["http://zotero.org/users/6108893/items/6PA8NZ97"],"uri":["http://zotero.org/users/6108893/items/6PA8NZ97"],"itemData":{"id":2172,"type":"article-journal","abstract":"To describe autoantibodies (Abs) against tripartite motif-containing (TRIM) protein 9 and 67 in two patients with paraneoplastic cerebellar degeneration (PCD) associated with lung adenocarcinoma. Abs were characterized using immunohistochemistry, Western blotting, cultures of murine cortical, and hippocampal neurons, immunoprecipitation, mass spectrometry, knockout mice for Trim9 and 67, and cell-based assay. Control samples included sera from 63 patients with small cell lung cancer without any paraneoplastic neurological syndrome, 36 patients with lung adenocarcinoma and PNS, CSF from 100 patients with autoimmune encephalitis, and CSF from 165 patients with neurodegenerative diseases. We found Abs targeting TRIM9 and TRIM67 at high concentration in the serum and the cerebrospinal fluid (CSF) of a 78-year-old woman and a 65-year-old man. Both developed subacute severe cerebellar ataxia. Brain magnetic resonance imaging found no abnormality and no cerebellar atrophy. Both had CSF inflammation with mild pleiocytosis and a few oligoclonal bands. We identified a pulmonary adenocarcinoma, confirming the paraneoplastic neurological syndrome in both patients. They received immunomodulatory and cancer treatments without improvement of cerebellar ataxia, even though both were in remission of their cancer (for more than 10 years in one patient). Anti-TRIM9 and anti-TRIM67 Abs were specific to these two patients. All control serum and CSF samples tested were negative for anti-TRIM9 and 67. Anti-TRIM9 and anti-TRIM67 Abs appeared to be specific biomarkers of PCD and should be added to the panel of antigens tested when this is suspected.","container-title":"Cerebellum (London, England)","DOI":"10.1007/s12311-018-0987-5","ISSN":"1473-4230","issue":"2","journalAbbreviation":"Cerebellum","language":"eng","note":"PMID: 30350014\nPMCID: PMC6445697","page":"245-254","source":"PubMed","title":"TRIM9 and TRIM67 Are New Targets in Paraneoplastic Cerebellar Degeneration","volume":"18","author":[{"family":"Do","given":"Le Duy"},{"family":"Gupton","given":"Stephanie L."},{"family":"Tanji","given":"Kunikazu"},{"family":"Bastien","given":"Joubert"},{"family":"Brugière","given":"Sabine"},{"family":"Couté","given":"Yohann"},{"family":"Quadrio","given":"Isabelle"},{"family":"Rogemond","given":"Veronique"},{"family":"Fabien","given":"Nicole"},{"family":"Desestret","given":"Virginie"},{"family":"Honnorat","given":"Jerome"}],"issued":{"date-parts":[["2019",4]]}}}],"schema":"https://github.com/citation-style-language/schema/raw/master/csl-citation.json"} </w:instrText>
      </w:r>
      <w:r w:rsidRPr="00156C75">
        <w:rPr>
          <w:rFonts w:ascii="Times New Roman" w:hAnsi="Times New Roman"/>
        </w:rPr>
        <w:fldChar w:fldCharType="separate"/>
      </w:r>
      <w:r w:rsidR="002B6974" w:rsidRPr="002B6974">
        <w:rPr>
          <w:rFonts w:ascii="Times New Roman" w:hAnsi="Times New Roman"/>
          <w:vertAlign w:val="superscript"/>
          <w:lang w:val="es-ES"/>
        </w:rPr>
        <w:t>1</w:t>
      </w:r>
      <w:r w:rsidRPr="00156C75">
        <w:rPr>
          <w:rFonts w:ascii="Times New Roman" w:hAnsi="Times New Roman"/>
        </w:rPr>
        <w:fldChar w:fldCharType="end"/>
      </w:r>
      <w:r w:rsidRPr="00156C75">
        <w:rPr>
          <w:rFonts w:ascii="Times New Roman" w:hAnsi="Times New Roman"/>
        </w:rPr>
        <w:t xml:space="preserve"> with patient CSF (1:10) or serum (1:100), and then revealed with Alexa555 </w:t>
      </w:r>
      <w:proofErr w:type="spellStart"/>
      <w:r w:rsidRPr="00156C75">
        <w:rPr>
          <w:rFonts w:ascii="Times New Roman" w:hAnsi="Times New Roman"/>
        </w:rPr>
        <w:t>fluorochrome</w:t>
      </w:r>
      <w:proofErr w:type="spellEnd"/>
      <w:r w:rsidRPr="00156C75">
        <w:rPr>
          <w:rFonts w:ascii="Times New Roman" w:hAnsi="Times New Roman"/>
        </w:rPr>
        <w:t xml:space="preserve">-conjugated secondary goat anti-human </w:t>
      </w:r>
      <w:proofErr w:type="spellStart"/>
      <w:r w:rsidRPr="00156C75">
        <w:rPr>
          <w:rFonts w:ascii="Times New Roman" w:hAnsi="Times New Roman"/>
        </w:rPr>
        <w:t>IgG</w:t>
      </w:r>
      <w:proofErr w:type="spellEnd"/>
      <w:r w:rsidRPr="00156C75">
        <w:rPr>
          <w:rFonts w:ascii="Times New Roman" w:hAnsi="Times New Roman"/>
        </w:rPr>
        <w:t xml:space="preserve"> antibodies (1:1,200, A21433, Invitrogen, </w:t>
      </w:r>
      <w:proofErr w:type="spellStart"/>
      <w:r w:rsidRPr="00156C75">
        <w:rPr>
          <w:rFonts w:ascii="Times New Roman" w:hAnsi="Times New Roman"/>
        </w:rPr>
        <w:t>Villebon</w:t>
      </w:r>
      <w:proofErr w:type="spellEnd"/>
      <w:r w:rsidRPr="00156C75">
        <w:rPr>
          <w:rFonts w:ascii="Times New Roman" w:hAnsi="Times New Roman"/>
        </w:rPr>
        <w:t xml:space="preserve"> </w:t>
      </w:r>
      <w:proofErr w:type="spellStart"/>
      <w:r w:rsidRPr="00156C75">
        <w:rPr>
          <w:rFonts w:ascii="Times New Roman" w:hAnsi="Times New Roman"/>
        </w:rPr>
        <w:t>sur</w:t>
      </w:r>
      <w:proofErr w:type="spellEnd"/>
      <w:r w:rsidRPr="00156C75">
        <w:rPr>
          <w:rFonts w:ascii="Times New Roman" w:hAnsi="Times New Roman"/>
        </w:rPr>
        <w:t xml:space="preserve"> Yvette, France). Photographs of stained cells were taken with fluorescent microscope </w:t>
      </w:r>
      <w:proofErr w:type="spellStart"/>
      <w:r w:rsidRPr="00156C75">
        <w:rPr>
          <w:rFonts w:ascii="Times New Roman" w:hAnsi="Times New Roman"/>
        </w:rPr>
        <w:t>Axio</w:t>
      </w:r>
      <w:proofErr w:type="spellEnd"/>
      <w:r w:rsidRPr="00156C75">
        <w:rPr>
          <w:rFonts w:ascii="Times New Roman" w:hAnsi="Times New Roman"/>
        </w:rPr>
        <w:t xml:space="preserve"> Imager Z1 (Carl Zeiss, </w:t>
      </w:r>
      <w:proofErr w:type="spellStart"/>
      <w:r w:rsidRPr="00156C75">
        <w:rPr>
          <w:rFonts w:ascii="Times New Roman" w:hAnsi="Times New Roman"/>
        </w:rPr>
        <w:t>Marly</w:t>
      </w:r>
      <w:proofErr w:type="spellEnd"/>
      <w:r w:rsidRPr="00156C75">
        <w:rPr>
          <w:rFonts w:ascii="Times New Roman" w:hAnsi="Times New Roman"/>
        </w:rPr>
        <w:t xml:space="preserve"> le </w:t>
      </w:r>
      <w:proofErr w:type="spellStart"/>
      <w:r w:rsidRPr="00156C75">
        <w:rPr>
          <w:rFonts w:ascii="Times New Roman" w:hAnsi="Times New Roman"/>
        </w:rPr>
        <w:t>Roi</w:t>
      </w:r>
      <w:proofErr w:type="spellEnd"/>
      <w:r w:rsidRPr="00156C75">
        <w:rPr>
          <w:rFonts w:ascii="Times New Roman" w:hAnsi="Times New Roman"/>
        </w:rPr>
        <w:t xml:space="preserve">, France). For double </w:t>
      </w:r>
      <w:proofErr w:type="spellStart"/>
      <w:r w:rsidRPr="00156C75">
        <w:rPr>
          <w:rFonts w:ascii="Times New Roman" w:hAnsi="Times New Roman"/>
        </w:rPr>
        <w:t>immunolabeling</w:t>
      </w:r>
      <w:proofErr w:type="spellEnd"/>
      <w:r w:rsidRPr="00156C75">
        <w:rPr>
          <w:rFonts w:ascii="Times New Roman" w:hAnsi="Times New Roman"/>
        </w:rPr>
        <w:t>, rabbit anti-AGO2 (1:1,000) or rabbit anti-</w:t>
      </w:r>
      <w:proofErr w:type="spellStart"/>
      <w:r w:rsidRPr="00156C75">
        <w:rPr>
          <w:rFonts w:ascii="Times New Roman" w:hAnsi="Times New Roman"/>
        </w:rPr>
        <w:t>hemagglutinin</w:t>
      </w:r>
      <w:proofErr w:type="spellEnd"/>
      <w:r w:rsidRPr="00156C75">
        <w:rPr>
          <w:rFonts w:ascii="Times New Roman" w:hAnsi="Times New Roman"/>
        </w:rPr>
        <w:t xml:space="preserve"> (anti-HA, 1:1,000, P1985, Fisher Scientific, </w:t>
      </w:r>
      <w:proofErr w:type="spellStart"/>
      <w:r w:rsidRPr="00156C75">
        <w:rPr>
          <w:rFonts w:ascii="Times New Roman" w:hAnsi="Times New Roman"/>
        </w:rPr>
        <w:t>Villebon</w:t>
      </w:r>
      <w:proofErr w:type="spellEnd"/>
      <w:r w:rsidRPr="00156C75">
        <w:rPr>
          <w:rFonts w:ascii="Times New Roman" w:hAnsi="Times New Roman"/>
        </w:rPr>
        <w:t xml:space="preserve"> </w:t>
      </w:r>
      <w:proofErr w:type="spellStart"/>
      <w:r w:rsidRPr="00156C75">
        <w:rPr>
          <w:rFonts w:ascii="Times New Roman" w:hAnsi="Times New Roman"/>
        </w:rPr>
        <w:t>sur</w:t>
      </w:r>
      <w:proofErr w:type="spellEnd"/>
      <w:r w:rsidRPr="00156C75">
        <w:rPr>
          <w:rFonts w:ascii="Times New Roman" w:hAnsi="Times New Roman"/>
        </w:rPr>
        <w:t xml:space="preserve"> Yvette, France) was added to dilute CSF and was revealed by Alexa488-conjugated secondary goat anti-rabbit </w:t>
      </w:r>
      <w:proofErr w:type="spellStart"/>
      <w:r w:rsidRPr="00156C75">
        <w:rPr>
          <w:rFonts w:ascii="Times New Roman" w:hAnsi="Times New Roman"/>
        </w:rPr>
        <w:t>IgG</w:t>
      </w:r>
      <w:proofErr w:type="spellEnd"/>
      <w:r w:rsidRPr="00156C75">
        <w:rPr>
          <w:rFonts w:ascii="Times New Roman" w:hAnsi="Times New Roman"/>
        </w:rPr>
        <w:t xml:space="preserve"> antibody (1:1,000, A11034, Invitrogen). Antibody titers were obtained by using serial dilutions of serum (if available) and CSF on HEK293 cells expressing AGO1-4. Patient </w:t>
      </w:r>
      <w:proofErr w:type="spellStart"/>
      <w:r w:rsidRPr="00156C75">
        <w:rPr>
          <w:rFonts w:ascii="Times New Roman" w:hAnsi="Times New Roman"/>
        </w:rPr>
        <w:t>IgG</w:t>
      </w:r>
      <w:proofErr w:type="spellEnd"/>
      <w:r w:rsidRPr="00156C75">
        <w:rPr>
          <w:rFonts w:ascii="Times New Roman" w:hAnsi="Times New Roman"/>
        </w:rPr>
        <w:t xml:space="preserve"> subtypes in serum and CSF (if available) were identified using AGO1 or AGO2-transfected HEK293 cells and secondary anti-human antibodies specific for IgG1 (1:1,000, MCA4774, Bio-Rad, </w:t>
      </w:r>
      <w:proofErr w:type="spellStart"/>
      <w:r w:rsidRPr="00156C75">
        <w:rPr>
          <w:rFonts w:ascii="Times New Roman" w:hAnsi="Times New Roman"/>
        </w:rPr>
        <w:t>Marnes</w:t>
      </w:r>
      <w:proofErr w:type="spellEnd"/>
      <w:r w:rsidRPr="00156C75">
        <w:rPr>
          <w:rFonts w:ascii="Times New Roman" w:hAnsi="Times New Roman"/>
        </w:rPr>
        <w:t xml:space="preserve">-la-Coquette, France), IgG2 (1:500, 555873, BD Biosciences, Le Pont de </w:t>
      </w:r>
      <w:proofErr w:type="spellStart"/>
      <w:r w:rsidRPr="00156C75">
        <w:rPr>
          <w:rFonts w:ascii="Times New Roman" w:hAnsi="Times New Roman"/>
        </w:rPr>
        <w:t>Claix</w:t>
      </w:r>
      <w:proofErr w:type="spellEnd"/>
      <w:r w:rsidRPr="00156C75">
        <w:rPr>
          <w:rFonts w:ascii="Times New Roman" w:hAnsi="Times New Roman"/>
        </w:rPr>
        <w:t xml:space="preserve">, France), IgG3 (1:1,000, 5247-9850, Bio-Rad), or IgG4 (1:500, 555881, BD Biosciences). </w:t>
      </w:r>
      <w:proofErr w:type="gramStart"/>
      <w:r w:rsidRPr="00156C75">
        <w:rPr>
          <w:rFonts w:ascii="Times New Roman" w:hAnsi="Times New Roman"/>
        </w:rPr>
        <w:t xml:space="preserve">Bound </w:t>
      </w:r>
      <w:proofErr w:type="spellStart"/>
      <w:r w:rsidRPr="00156C75">
        <w:rPr>
          <w:rFonts w:ascii="Times New Roman" w:hAnsi="Times New Roman"/>
        </w:rPr>
        <w:t>IgG</w:t>
      </w:r>
      <w:proofErr w:type="spellEnd"/>
      <w:r w:rsidRPr="00156C75">
        <w:rPr>
          <w:rFonts w:ascii="Times New Roman" w:hAnsi="Times New Roman"/>
        </w:rPr>
        <w:t xml:space="preserve"> was revealed by a goat anti-mouse </w:t>
      </w:r>
      <w:proofErr w:type="spellStart"/>
      <w:r w:rsidRPr="00156C75">
        <w:rPr>
          <w:rFonts w:ascii="Times New Roman" w:hAnsi="Times New Roman"/>
        </w:rPr>
        <w:t>IgG</w:t>
      </w:r>
      <w:proofErr w:type="spellEnd"/>
      <w:r w:rsidRPr="00156C75">
        <w:rPr>
          <w:rFonts w:ascii="Times New Roman" w:hAnsi="Times New Roman"/>
        </w:rPr>
        <w:t xml:space="preserve"> antibody coupled with Alexa555</w:t>
      </w:r>
      <w:proofErr w:type="gramEnd"/>
      <w:r w:rsidRPr="00156C75">
        <w:rPr>
          <w:rFonts w:ascii="Times New Roman" w:hAnsi="Times New Roman"/>
        </w:rPr>
        <w:t xml:space="preserve"> (1:1,000, A21424, Invitrogen).</w:t>
      </w:r>
    </w:p>
    <w:p w14:paraId="64C10285" w14:textId="77777777" w:rsidR="00E8587A" w:rsidRPr="00156C75" w:rsidRDefault="00E8587A" w:rsidP="00E8587A">
      <w:pPr>
        <w:widowControl w:val="0"/>
        <w:autoSpaceDE w:val="0"/>
        <w:autoSpaceDN w:val="0"/>
        <w:adjustRightInd w:val="0"/>
        <w:spacing w:after="0" w:line="360" w:lineRule="auto"/>
        <w:rPr>
          <w:rFonts w:ascii="Times New Roman" w:hAnsi="Times New Roman"/>
        </w:rPr>
      </w:pPr>
    </w:p>
    <w:p w14:paraId="5B8A994F" w14:textId="77777777" w:rsidR="00E8587A" w:rsidRPr="00156C75" w:rsidRDefault="00E8587A" w:rsidP="00E8587A">
      <w:pPr>
        <w:widowControl w:val="0"/>
        <w:autoSpaceDE w:val="0"/>
        <w:autoSpaceDN w:val="0"/>
        <w:adjustRightInd w:val="0"/>
        <w:spacing w:after="0" w:line="360" w:lineRule="auto"/>
        <w:rPr>
          <w:rFonts w:ascii="Times New Roman" w:hAnsi="Times New Roman"/>
        </w:rPr>
      </w:pPr>
      <w:r w:rsidRPr="00156C75">
        <w:rPr>
          <w:rFonts w:ascii="Times New Roman" w:hAnsi="Times New Roman"/>
          <w:b/>
        </w:rPr>
        <w:t xml:space="preserve">AGO1- and AGO2-Abs </w:t>
      </w:r>
      <w:proofErr w:type="spellStart"/>
      <w:r w:rsidRPr="00156C75">
        <w:rPr>
          <w:rFonts w:ascii="Times New Roman" w:hAnsi="Times New Roman"/>
          <w:b/>
        </w:rPr>
        <w:t>immunoadsorption</w:t>
      </w:r>
      <w:proofErr w:type="spellEnd"/>
      <w:r w:rsidRPr="00156C75">
        <w:rPr>
          <w:rFonts w:ascii="Times New Roman" w:hAnsi="Times New Roman"/>
        </w:rPr>
        <w:t xml:space="preserve"> </w:t>
      </w:r>
    </w:p>
    <w:p w14:paraId="6F28423D" w14:textId="77777777" w:rsidR="00E8587A" w:rsidRPr="00156C75" w:rsidRDefault="00E8587A" w:rsidP="00E8587A">
      <w:pPr>
        <w:widowControl w:val="0"/>
        <w:autoSpaceDE w:val="0"/>
        <w:autoSpaceDN w:val="0"/>
        <w:adjustRightInd w:val="0"/>
        <w:spacing w:after="0" w:line="360" w:lineRule="auto"/>
        <w:ind w:firstLine="720"/>
        <w:rPr>
          <w:rFonts w:ascii="Times New Roman" w:hAnsi="Times New Roman"/>
        </w:rPr>
      </w:pPr>
      <w:r w:rsidRPr="00156C75">
        <w:rPr>
          <w:rFonts w:ascii="Times New Roman" w:hAnsi="Times New Roman"/>
        </w:rPr>
        <w:t>A total of 1.6 x 10</w:t>
      </w:r>
      <w:r w:rsidRPr="00156C75">
        <w:rPr>
          <w:rFonts w:ascii="Times New Roman" w:hAnsi="Times New Roman"/>
          <w:vertAlign w:val="superscript"/>
        </w:rPr>
        <w:t>6</w:t>
      </w:r>
      <w:r w:rsidRPr="00156C75">
        <w:rPr>
          <w:rFonts w:ascii="Times New Roman" w:hAnsi="Times New Roman"/>
        </w:rPr>
        <w:t xml:space="preserve"> HEK293 cells were seeded in 6-well plates. Cells were transfected with AGO1 or AGO2 plasmids by using LTX (10573013, Fisher Scientific) following manufacturer’s instructions. After 24</w:t>
      </w:r>
      <w:r>
        <w:rPr>
          <w:rFonts w:ascii="Times New Roman" w:hAnsi="Times New Roman"/>
        </w:rPr>
        <w:t xml:space="preserve"> </w:t>
      </w:r>
      <w:r w:rsidRPr="00156C75">
        <w:rPr>
          <w:rFonts w:ascii="Times New Roman" w:hAnsi="Times New Roman"/>
        </w:rPr>
        <w:t>h, cells were fixed with 4% PFA. Then, 1 mL of CSF (1:100) from patient XI was incubated in each well for 24</w:t>
      </w:r>
      <w:r>
        <w:rPr>
          <w:rFonts w:ascii="Times New Roman" w:hAnsi="Times New Roman"/>
        </w:rPr>
        <w:t xml:space="preserve"> </w:t>
      </w:r>
      <w:r w:rsidRPr="00156C75">
        <w:rPr>
          <w:rFonts w:ascii="Times New Roman" w:hAnsi="Times New Roman"/>
        </w:rPr>
        <w:t>h until no further CBA signal was observed. Diluted CSFs were then used for immunohistochemistry on rat brain section as described above. A control experiment was performed in the same way on non-transfected HEK293 cells.</w:t>
      </w:r>
    </w:p>
    <w:p w14:paraId="7682167E" w14:textId="77777777" w:rsidR="00E8587A" w:rsidRPr="00156C75" w:rsidRDefault="00E8587A" w:rsidP="00E8587A">
      <w:pPr>
        <w:widowControl w:val="0"/>
        <w:autoSpaceDE w:val="0"/>
        <w:autoSpaceDN w:val="0"/>
        <w:adjustRightInd w:val="0"/>
        <w:spacing w:after="0" w:line="360" w:lineRule="auto"/>
        <w:rPr>
          <w:rFonts w:ascii="Times New Roman" w:hAnsi="Times New Roman"/>
          <w:b/>
        </w:rPr>
      </w:pPr>
    </w:p>
    <w:p w14:paraId="77A5D52F" w14:textId="77777777" w:rsidR="00E8587A" w:rsidRPr="00186549" w:rsidRDefault="00E8587A" w:rsidP="00E8587A">
      <w:pPr>
        <w:widowControl w:val="0"/>
        <w:autoSpaceDE w:val="0"/>
        <w:autoSpaceDN w:val="0"/>
        <w:adjustRightInd w:val="0"/>
        <w:spacing w:after="0" w:line="360" w:lineRule="auto"/>
        <w:rPr>
          <w:rFonts w:ascii="Times New Roman" w:hAnsi="Times New Roman"/>
        </w:rPr>
      </w:pPr>
      <w:r w:rsidRPr="0048764B">
        <w:rPr>
          <w:rFonts w:ascii="Times New Roman" w:hAnsi="Times New Roman"/>
          <w:b/>
        </w:rPr>
        <w:t>Identification of the AGO2 binding region</w:t>
      </w:r>
      <w:r w:rsidRPr="00186549">
        <w:rPr>
          <w:rFonts w:ascii="Times New Roman" w:hAnsi="Times New Roman"/>
        </w:rPr>
        <w:t xml:space="preserve"> </w:t>
      </w:r>
    </w:p>
    <w:p w14:paraId="2FF05E31" w14:textId="77777777" w:rsidR="00E8587A" w:rsidRPr="00156C75" w:rsidRDefault="00E8587A" w:rsidP="00E8587A">
      <w:pPr>
        <w:widowControl w:val="0"/>
        <w:autoSpaceDE w:val="0"/>
        <w:autoSpaceDN w:val="0"/>
        <w:adjustRightInd w:val="0"/>
        <w:spacing w:after="0" w:line="360" w:lineRule="auto"/>
        <w:ind w:firstLine="720"/>
        <w:rPr>
          <w:rFonts w:ascii="Times New Roman" w:hAnsi="Times New Roman"/>
        </w:rPr>
      </w:pPr>
      <w:r w:rsidRPr="00156C75">
        <w:rPr>
          <w:rFonts w:ascii="Times New Roman" w:hAnsi="Times New Roman"/>
        </w:rPr>
        <w:t xml:space="preserve">Four domains of AGO2 (F1, F2, F3, F4) were amplified by PCR using the VP5-AGO2 plasmid as a template. The list of primers corresponding to each domain is described in e-table 1. Four plasmids each coding for one AGO2 domain were obtained and transfected into HEK293 cells, and </w:t>
      </w:r>
      <w:proofErr w:type="spellStart"/>
      <w:r w:rsidRPr="00156C75">
        <w:rPr>
          <w:rFonts w:ascii="Times New Roman" w:hAnsi="Times New Roman"/>
        </w:rPr>
        <w:t>immunolabeling</w:t>
      </w:r>
      <w:proofErr w:type="spellEnd"/>
      <w:r w:rsidRPr="00156C75">
        <w:rPr>
          <w:rFonts w:ascii="Times New Roman" w:hAnsi="Times New Roman"/>
        </w:rPr>
        <w:t xml:space="preserve"> with all available patient samples was conducted as described in the CBA section.</w:t>
      </w:r>
    </w:p>
    <w:p w14:paraId="2462DC74" w14:textId="77777777" w:rsidR="00E8587A" w:rsidRDefault="00E8587A" w:rsidP="00BF58D7">
      <w:pPr>
        <w:spacing w:after="0" w:line="360" w:lineRule="auto"/>
        <w:jc w:val="left"/>
        <w:rPr>
          <w:rFonts w:ascii="Times New Roman" w:hAnsi="Times New Roman"/>
          <w:b/>
          <w:color w:val="000000"/>
        </w:rPr>
      </w:pPr>
    </w:p>
    <w:p w14:paraId="04417025" w14:textId="4DE88275" w:rsidR="00A77F6B" w:rsidRDefault="00A77F6B" w:rsidP="00BF58D7">
      <w:pPr>
        <w:spacing w:after="0" w:line="360" w:lineRule="auto"/>
        <w:jc w:val="left"/>
        <w:rPr>
          <w:rFonts w:ascii="Times New Roman" w:hAnsi="Times New Roman"/>
          <w:b/>
          <w:color w:val="000000"/>
        </w:rPr>
      </w:pPr>
      <w:r>
        <w:rPr>
          <w:rFonts w:ascii="Times New Roman" w:hAnsi="Times New Roman"/>
          <w:b/>
          <w:color w:val="000000"/>
        </w:rPr>
        <w:t>Supplementary references</w:t>
      </w:r>
    </w:p>
    <w:p w14:paraId="1ACF7904" w14:textId="5B802CB9" w:rsidR="008F6A50" w:rsidRPr="00B3396F" w:rsidRDefault="00DA6F16" w:rsidP="00B3396F">
      <w:pPr>
        <w:pStyle w:val="Bibliografa1"/>
        <w:jc w:val="both"/>
        <w:rPr>
          <w:b w:val="0"/>
        </w:rPr>
      </w:pPr>
      <w:proofErr w:type="gramStart"/>
      <w:r>
        <w:rPr>
          <w:b w:val="0"/>
        </w:rPr>
        <w:t>e</w:t>
      </w:r>
      <w:proofErr w:type="gramEnd"/>
      <w:r w:rsidR="008F6A50" w:rsidRPr="00B3396F">
        <w:rPr>
          <w:b w:val="0"/>
        </w:rPr>
        <w:fldChar w:fldCharType="begin"/>
      </w:r>
      <w:r w:rsidR="008F6A50" w:rsidRPr="00B3396F">
        <w:rPr>
          <w:b w:val="0"/>
        </w:rPr>
        <w:instrText xml:space="preserve"> ADDIN ZOTERO_BIBL {"uncited":[],"omitted":[],"custom":[]} CSL_BIBLIOGRAPHY </w:instrText>
      </w:r>
      <w:r w:rsidR="008F6A50" w:rsidRPr="00B3396F">
        <w:rPr>
          <w:b w:val="0"/>
        </w:rPr>
        <w:fldChar w:fldCharType="separate"/>
      </w:r>
      <w:r w:rsidR="008F6A50" w:rsidRPr="00B3396F">
        <w:rPr>
          <w:b w:val="0"/>
        </w:rPr>
        <w:t xml:space="preserve">1. </w:t>
      </w:r>
      <w:r w:rsidR="008F6A50" w:rsidRPr="00B3396F">
        <w:rPr>
          <w:b w:val="0"/>
        </w:rPr>
        <w:tab/>
        <w:t xml:space="preserve">Do LD, Gupton SL, Tanji K, et al. TRIM9 and TRIM67 Are New Targets in Paraneoplastic Cerebellar Degeneration. Cerebellum Lond Engl. 2019;18:245–254. </w:t>
      </w:r>
    </w:p>
    <w:p w14:paraId="24625197" w14:textId="5F40A2AD" w:rsidR="008F6A50" w:rsidRPr="00B3396F" w:rsidRDefault="00DA6F16" w:rsidP="00B3396F">
      <w:pPr>
        <w:pStyle w:val="Bibliografa1"/>
        <w:jc w:val="both"/>
        <w:rPr>
          <w:b w:val="0"/>
        </w:rPr>
      </w:pPr>
      <w:r>
        <w:rPr>
          <w:b w:val="0"/>
        </w:rPr>
        <w:t>e</w:t>
      </w:r>
      <w:r w:rsidR="008F6A50" w:rsidRPr="00B3396F">
        <w:rPr>
          <w:b w:val="0"/>
        </w:rPr>
        <w:t xml:space="preserve">2. </w:t>
      </w:r>
      <w:r w:rsidR="008F6A50" w:rsidRPr="00B3396F">
        <w:rPr>
          <w:b w:val="0"/>
        </w:rPr>
        <w:tab/>
        <w:t xml:space="preserve">Casabona MG, Vandenbrouck Y, Attree I, Couté Y. Proteomic characterization of Pseudomonas aeruginosa PAO1 inner membrane. Proteomics. 2013;13:2419–2423. </w:t>
      </w:r>
    </w:p>
    <w:p w14:paraId="6AE0DE1A" w14:textId="4DADAF26" w:rsidR="008F6A50" w:rsidRPr="00B3396F" w:rsidRDefault="00DA6F16" w:rsidP="00B3396F">
      <w:pPr>
        <w:pStyle w:val="Bibliografa1"/>
        <w:jc w:val="both"/>
        <w:rPr>
          <w:b w:val="0"/>
        </w:rPr>
      </w:pPr>
      <w:r>
        <w:rPr>
          <w:b w:val="0"/>
        </w:rPr>
        <w:t>e</w:t>
      </w:r>
      <w:r w:rsidR="008F6A50" w:rsidRPr="00B3396F">
        <w:rPr>
          <w:b w:val="0"/>
        </w:rPr>
        <w:t xml:space="preserve">3. </w:t>
      </w:r>
      <w:r w:rsidR="008F6A50" w:rsidRPr="00B3396F">
        <w:rPr>
          <w:b w:val="0"/>
        </w:rPr>
        <w:tab/>
        <w:t xml:space="preserve">Bouyssié D, Hesse A-M, Mouton-Barbosa E, et al. Proline: an efficient and user-friendly software suite for large-scale proteomics. Bioinforma Oxf Engl. 2020;36:3148–3155. </w:t>
      </w:r>
    </w:p>
    <w:p w14:paraId="4FB579E4" w14:textId="1B2518A7" w:rsidR="008F6A50" w:rsidRPr="00B3396F" w:rsidRDefault="00DA6F16" w:rsidP="00B3396F">
      <w:pPr>
        <w:pStyle w:val="Bibliografa1"/>
        <w:jc w:val="both"/>
        <w:rPr>
          <w:b w:val="0"/>
        </w:rPr>
      </w:pPr>
      <w:r>
        <w:rPr>
          <w:b w:val="0"/>
        </w:rPr>
        <w:t>e</w:t>
      </w:r>
      <w:r w:rsidR="008F6A50" w:rsidRPr="00B3396F">
        <w:rPr>
          <w:b w:val="0"/>
        </w:rPr>
        <w:t xml:space="preserve">4. </w:t>
      </w:r>
      <w:r w:rsidR="008F6A50" w:rsidRPr="00B3396F">
        <w:rPr>
          <w:b w:val="0"/>
        </w:rPr>
        <w:tab/>
        <w:t xml:space="preserve">Moritz CP, Tholance Y, Lassablière F, Camdessanché J-P, Antoine J-C. Reducing the risk of misdiagnosis of indirect ELISA by normalizing serum-specific background noise: The example of detecting anti-FGFR3 autoantibodies. J Immunol Methods. 2019;466:52–56. </w:t>
      </w:r>
    </w:p>
    <w:p w14:paraId="0011EFC8" w14:textId="046EB601" w:rsidR="008F6A50" w:rsidRPr="00B3396F" w:rsidRDefault="00DA6F16" w:rsidP="00B3396F">
      <w:pPr>
        <w:pStyle w:val="Bibliografa1"/>
        <w:jc w:val="both"/>
        <w:rPr>
          <w:b w:val="0"/>
        </w:rPr>
      </w:pPr>
      <w:proofErr w:type="gramStart"/>
      <w:r>
        <w:rPr>
          <w:b w:val="0"/>
        </w:rPr>
        <w:t>e</w:t>
      </w:r>
      <w:r w:rsidR="008F6A50" w:rsidRPr="00B3396F">
        <w:rPr>
          <w:b w:val="0"/>
        </w:rPr>
        <w:t>5</w:t>
      </w:r>
      <w:proofErr w:type="gramEnd"/>
      <w:r w:rsidR="008F6A50" w:rsidRPr="00B3396F">
        <w:rPr>
          <w:b w:val="0"/>
        </w:rPr>
        <w:t xml:space="preserve">. </w:t>
      </w:r>
      <w:r w:rsidR="008F6A50" w:rsidRPr="00B3396F">
        <w:rPr>
          <w:b w:val="0"/>
        </w:rPr>
        <w:tab/>
        <w:t xml:space="preserve">Moritz CP, Stoevesandt O, Tholance Y, Camdessanché J-P, Antoine J-C. Proper definition of the set of autoantibody-targeted antigens relies on appropriate reference group selection. </w:t>
      </w:r>
      <w:r w:rsidR="00D13547" w:rsidRPr="00D13547">
        <w:rPr>
          <w:b w:val="0"/>
        </w:rPr>
        <w:t xml:space="preserve">New </w:t>
      </w:r>
      <w:proofErr w:type="spellStart"/>
      <w:r w:rsidR="00D13547" w:rsidRPr="00D13547">
        <w:rPr>
          <w:b w:val="0"/>
        </w:rPr>
        <w:t>Biotechnol</w:t>
      </w:r>
      <w:proofErr w:type="spellEnd"/>
      <w:r w:rsidR="00D13547" w:rsidRPr="00D13547">
        <w:rPr>
          <w:b w:val="0"/>
        </w:rPr>
        <w:t>. 2021</w:t>
      </w:r>
      <w:proofErr w:type="gramStart"/>
      <w:r w:rsidR="00D13547" w:rsidRPr="00D13547">
        <w:rPr>
          <w:b w:val="0"/>
        </w:rPr>
        <w:t>;60:168</w:t>
      </w:r>
      <w:proofErr w:type="gramEnd"/>
      <w:r w:rsidR="00D13547" w:rsidRPr="00D13547">
        <w:rPr>
          <w:b w:val="0"/>
        </w:rPr>
        <w:t>-172.</w:t>
      </w:r>
      <w:r w:rsidR="008F6A50" w:rsidRPr="00B3396F">
        <w:rPr>
          <w:b w:val="0"/>
        </w:rPr>
        <w:t xml:space="preserve"> </w:t>
      </w:r>
    </w:p>
    <w:p w14:paraId="4B2877DD" w14:textId="2DB3562C" w:rsidR="008F6A50" w:rsidRPr="00B3396F" w:rsidRDefault="00DA6F16" w:rsidP="00B3396F">
      <w:pPr>
        <w:pStyle w:val="Bibliografa1"/>
        <w:jc w:val="both"/>
        <w:rPr>
          <w:b w:val="0"/>
        </w:rPr>
      </w:pPr>
      <w:r>
        <w:rPr>
          <w:b w:val="0"/>
        </w:rPr>
        <w:t>e</w:t>
      </w:r>
      <w:r w:rsidR="008F6A50" w:rsidRPr="00B3396F">
        <w:rPr>
          <w:b w:val="0"/>
        </w:rPr>
        <w:t xml:space="preserve">6. </w:t>
      </w:r>
      <w:r w:rsidR="008F6A50" w:rsidRPr="00B3396F">
        <w:rPr>
          <w:b w:val="0"/>
        </w:rPr>
        <w:tab/>
        <w:t xml:space="preserve">Meister G, Landthaler M, Patkaniowska A, Dorsett Y, Teng G, Tuschl T. Human Argonaute2 mediates RNA cleavage targeted by miRNAs and siRNAs. Mol Cell. 2004;15:185–197. </w:t>
      </w:r>
    </w:p>
    <w:p w14:paraId="493E0BB1" w14:textId="00377781" w:rsidR="00E8587A" w:rsidRDefault="008F6A50" w:rsidP="00B3396F">
      <w:pPr>
        <w:spacing w:after="0" w:line="240" w:lineRule="auto"/>
        <w:rPr>
          <w:rFonts w:ascii="Times New Roman" w:hAnsi="Times New Roman"/>
          <w:b/>
          <w:color w:val="000000"/>
        </w:rPr>
      </w:pPr>
      <w:r w:rsidRPr="00B3396F">
        <w:rPr>
          <w:rFonts w:ascii="Times New Roman" w:hAnsi="Times New Roman"/>
          <w:color w:val="000000"/>
        </w:rPr>
        <w:fldChar w:fldCharType="end"/>
      </w:r>
      <w:r w:rsidR="00E8587A">
        <w:rPr>
          <w:rFonts w:ascii="Times New Roman" w:hAnsi="Times New Roman"/>
          <w:b/>
          <w:color w:val="000000"/>
        </w:rPr>
        <w:br w:type="page"/>
      </w:r>
    </w:p>
    <w:p w14:paraId="0556FC93" w14:textId="78BB6C7E" w:rsidR="00F96867" w:rsidRPr="00186549" w:rsidRDefault="00261AF1" w:rsidP="00BF58D7">
      <w:pPr>
        <w:spacing w:after="0" w:line="360" w:lineRule="auto"/>
        <w:jc w:val="left"/>
        <w:rPr>
          <w:rFonts w:ascii="Times New Roman" w:hAnsi="Times New Roman"/>
          <w:b/>
          <w:color w:val="000000"/>
        </w:rPr>
      </w:pPr>
      <w:r>
        <w:rPr>
          <w:rFonts w:ascii="Times New Roman" w:hAnsi="Times New Roman"/>
          <w:b/>
          <w:color w:val="000000"/>
        </w:rPr>
        <w:t>Figure e-1</w:t>
      </w:r>
      <w:r w:rsidR="00F96867" w:rsidRPr="00501EE8">
        <w:rPr>
          <w:rFonts w:ascii="Times New Roman" w:hAnsi="Times New Roman"/>
          <w:b/>
          <w:color w:val="000000"/>
        </w:rPr>
        <w:t xml:space="preserve">. </w:t>
      </w:r>
      <w:proofErr w:type="gramStart"/>
      <w:r w:rsidR="00F96867" w:rsidRPr="00501EE8">
        <w:rPr>
          <w:rFonts w:ascii="Times New Roman" w:hAnsi="Times New Roman"/>
          <w:b/>
          <w:color w:val="000000"/>
        </w:rPr>
        <w:t>Confirmation</w:t>
      </w:r>
      <w:r w:rsidR="00F96867" w:rsidRPr="00186549">
        <w:rPr>
          <w:rFonts w:ascii="Times New Roman" w:hAnsi="Times New Roman"/>
          <w:b/>
          <w:color w:val="000000"/>
        </w:rPr>
        <w:t xml:space="preserve"> that the atypical staining pattern was solely caused by antibodies targeting AGO proteins using </w:t>
      </w:r>
      <w:proofErr w:type="spellStart"/>
      <w:r w:rsidR="00F96867" w:rsidRPr="00186549">
        <w:rPr>
          <w:rFonts w:ascii="Times New Roman" w:hAnsi="Times New Roman"/>
          <w:b/>
          <w:color w:val="000000"/>
        </w:rPr>
        <w:t>immunoadsorption</w:t>
      </w:r>
      <w:proofErr w:type="spellEnd"/>
      <w:proofErr w:type="gramEnd"/>
      <w:r w:rsidR="00F96867" w:rsidRPr="00186549">
        <w:rPr>
          <w:rFonts w:ascii="Times New Roman" w:hAnsi="Times New Roman"/>
          <w:b/>
          <w:color w:val="000000"/>
        </w:rPr>
        <w:t>.</w:t>
      </w:r>
      <w:r w:rsidR="00F96867" w:rsidRPr="00186549">
        <w:rPr>
          <w:rFonts w:ascii="Times New Roman" w:hAnsi="Times New Roman"/>
          <w:color w:val="000000"/>
        </w:rPr>
        <w:t xml:space="preserve"> </w:t>
      </w:r>
    </w:p>
    <w:p w14:paraId="75244C45" w14:textId="77777777" w:rsidR="00F96867" w:rsidRPr="00186549" w:rsidRDefault="00F96867" w:rsidP="00BF58D7">
      <w:pPr>
        <w:spacing w:after="0" w:line="360" w:lineRule="auto"/>
        <w:rPr>
          <w:rFonts w:ascii="Times New Roman" w:hAnsi="Times New Roman"/>
          <w:color w:val="000000"/>
        </w:rPr>
      </w:pPr>
      <w:r w:rsidRPr="00186549">
        <w:rPr>
          <w:rFonts w:ascii="Times New Roman" w:hAnsi="Times New Roman"/>
          <w:color w:val="000000"/>
        </w:rPr>
        <w:t xml:space="preserve">Diluted patient XI’s CSF (1:100) depleted for only AGO2-Abs (A) or both AGO1-Abs and AGO2-Abs (B) were used for </w:t>
      </w:r>
      <w:proofErr w:type="spellStart"/>
      <w:r w:rsidRPr="00186549">
        <w:rPr>
          <w:rFonts w:ascii="Times New Roman" w:hAnsi="Times New Roman"/>
          <w:color w:val="000000"/>
        </w:rPr>
        <w:t>immunostaining</w:t>
      </w:r>
      <w:proofErr w:type="spellEnd"/>
      <w:r w:rsidRPr="00186549">
        <w:rPr>
          <w:rFonts w:ascii="Times New Roman" w:hAnsi="Times New Roman"/>
          <w:color w:val="000000"/>
        </w:rPr>
        <w:t xml:space="preserve"> on rat brain sections. Only a combination of AGO1 and AGO2-Abs depletion, but not AGO2 alone, was able to abolish the </w:t>
      </w:r>
      <w:proofErr w:type="spellStart"/>
      <w:r w:rsidRPr="00186549">
        <w:rPr>
          <w:rFonts w:ascii="Times New Roman" w:hAnsi="Times New Roman"/>
          <w:color w:val="000000"/>
        </w:rPr>
        <w:t>immunostaining</w:t>
      </w:r>
      <w:proofErr w:type="spellEnd"/>
      <w:r w:rsidRPr="00186549">
        <w:rPr>
          <w:rFonts w:ascii="Times New Roman" w:hAnsi="Times New Roman"/>
          <w:color w:val="000000"/>
        </w:rPr>
        <w:t xml:space="preserve"> signal.                        </w:t>
      </w:r>
    </w:p>
    <w:p w14:paraId="0C8EEE1A" w14:textId="06C756CA" w:rsidR="00F96867" w:rsidRDefault="00F96867" w:rsidP="0028385E">
      <w:pPr>
        <w:widowControl w:val="0"/>
        <w:autoSpaceDE w:val="0"/>
        <w:autoSpaceDN w:val="0"/>
        <w:adjustRightInd w:val="0"/>
        <w:spacing w:after="0" w:line="360" w:lineRule="auto"/>
        <w:rPr>
          <w:rFonts w:ascii="Times New Roman" w:hAnsi="Times New Roman"/>
          <w:b/>
          <w:highlight w:val="yellow"/>
          <w:lang w:bidi="ar-SA"/>
        </w:rPr>
      </w:pPr>
    </w:p>
    <w:p w14:paraId="6A470017" w14:textId="77777777" w:rsidR="00820EA2" w:rsidRDefault="00820EA2">
      <w:pPr>
        <w:spacing w:after="0" w:line="240" w:lineRule="auto"/>
        <w:jc w:val="left"/>
        <w:rPr>
          <w:rFonts w:ascii="Times New Roman" w:hAnsi="Times New Roman"/>
          <w:b/>
          <w:lang w:bidi="ar-SA"/>
        </w:rPr>
      </w:pPr>
      <w:r>
        <w:rPr>
          <w:rFonts w:ascii="Times New Roman" w:hAnsi="Times New Roman"/>
          <w:b/>
          <w:lang w:bidi="ar-SA"/>
        </w:rPr>
        <w:br w:type="page"/>
      </w:r>
    </w:p>
    <w:p w14:paraId="625118CF" w14:textId="5C52A9C0" w:rsidR="0028385E" w:rsidRPr="00186549" w:rsidRDefault="0028385E" w:rsidP="0028385E">
      <w:pPr>
        <w:widowControl w:val="0"/>
        <w:autoSpaceDE w:val="0"/>
        <w:autoSpaceDN w:val="0"/>
        <w:adjustRightInd w:val="0"/>
        <w:spacing w:after="0" w:line="360" w:lineRule="auto"/>
        <w:rPr>
          <w:rFonts w:ascii="Times New Roman" w:hAnsi="Times New Roman"/>
        </w:rPr>
      </w:pPr>
      <w:proofErr w:type="gramStart"/>
      <w:r w:rsidRPr="00501EE8">
        <w:rPr>
          <w:rFonts w:ascii="Times New Roman" w:hAnsi="Times New Roman"/>
          <w:b/>
          <w:lang w:bidi="ar-SA"/>
        </w:rPr>
        <w:t>e</w:t>
      </w:r>
      <w:proofErr w:type="gramEnd"/>
      <w:r w:rsidRPr="00501EE8">
        <w:rPr>
          <w:rFonts w:ascii="Times New Roman" w:hAnsi="Times New Roman"/>
          <w:b/>
          <w:lang w:bidi="ar-SA"/>
        </w:rPr>
        <w:t>-table 1. List of primers</w:t>
      </w:r>
      <w:r w:rsidRPr="00186549">
        <w:rPr>
          <w:rFonts w:ascii="Times New Roman" w:hAnsi="Times New Roman"/>
          <w:b/>
          <w:lang w:bidi="ar-SA"/>
        </w:rPr>
        <w:t xml:space="preserve"> used for </w:t>
      </w:r>
      <w:r w:rsidRPr="00186549">
        <w:rPr>
          <w:rFonts w:ascii="Times New Roman" w:hAnsi="Times New Roman"/>
          <w:b/>
        </w:rPr>
        <w:t>AGO2 epitopes mapping</w:t>
      </w:r>
      <w:r w:rsidRPr="00186549">
        <w:rPr>
          <w:rFonts w:ascii="Times New Roman" w:hAnsi="Times New Roman"/>
        </w:rPr>
        <w:t xml:space="preserve"> </w:t>
      </w:r>
    </w:p>
    <w:tbl>
      <w:tblPr>
        <w:tblStyle w:val="Tablaconcuadrcula"/>
        <w:tblW w:w="542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0"/>
        <w:gridCol w:w="1152"/>
        <w:gridCol w:w="2830"/>
        <w:gridCol w:w="2924"/>
      </w:tblGrid>
      <w:tr w:rsidR="0028385E" w:rsidRPr="00186549" w14:paraId="692C51AE" w14:textId="77777777" w:rsidTr="00BA55AD">
        <w:tc>
          <w:tcPr>
            <w:tcW w:w="476" w:type="pct"/>
            <w:tcBorders>
              <w:top w:val="single" w:sz="4" w:space="0" w:color="auto"/>
              <w:bottom w:val="single" w:sz="4" w:space="0" w:color="auto"/>
            </w:tcBorders>
          </w:tcPr>
          <w:p w14:paraId="5C31B455" w14:textId="77777777" w:rsidR="0028385E" w:rsidRPr="00186549" w:rsidRDefault="0028385E" w:rsidP="00BA55AD">
            <w:pPr>
              <w:spacing w:after="0" w:line="360" w:lineRule="auto"/>
              <w:jc w:val="center"/>
              <w:rPr>
                <w:rFonts w:ascii="Times New Roman" w:hAnsi="Times New Roman"/>
                <w:b/>
                <w:sz w:val="20"/>
                <w:szCs w:val="20"/>
                <w:lang w:bidi="ar-SA"/>
              </w:rPr>
            </w:pPr>
            <w:r w:rsidRPr="00186549">
              <w:rPr>
                <w:rFonts w:ascii="Times New Roman" w:hAnsi="Times New Roman"/>
                <w:sz w:val="20"/>
                <w:szCs w:val="20"/>
              </w:rPr>
              <w:t>Fragment</w:t>
            </w:r>
          </w:p>
        </w:tc>
        <w:tc>
          <w:tcPr>
            <w:tcW w:w="868" w:type="pct"/>
            <w:tcBorders>
              <w:top w:val="single" w:sz="4" w:space="0" w:color="auto"/>
              <w:bottom w:val="single" w:sz="4" w:space="0" w:color="auto"/>
            </w:tcBorders>
          </w:tcPr>
          <w:p w14:paraId="79E019BC" w14:textId="77777777" w:rsidR="0028385E" w:rsidRPr="00186549" w:rsidRDefault="0028385E" w:rsidP="00BA55AD">
            <w:pPr>
              <w:spacing w:after="0" w:line="360" w:lineRule="auto"/>
              <w:jc w:val="center"/>
              <w:rPr>
                <w:rFonts w:ascii="Times New Roman" w:hAnsi="Times New Roman"/>
                <w:b/>
                <w:sz w:val="20"/>
                <w:szCs w:val="20"/>
                <w:lang w:bidi="ar-SA"/>
              </w:rPr>
            </w:pPr>
            <w:r w:rsidRPr="00186549">
              <w:rPr>
                <w:rFonts w:ascii="Times New Roman" w:hAnsi="Times New Roman"/>
                <w:sz w:val="20"/>
                <w:szCs w:val="20"/>
              </w:rPr>
              <w:t>Domain’s name (</w:t>
            </w:r>
            <w:proofErr w:type="spellStart"/>
            <w:r w:rsidRPr="00186549">
              <w:rPr>
                <w:rFonts w:ascii="Times New Roman" w:hAnsi="Times New Roman"/>
                <w:sz w:val="20"/>
                <w:szCs w:val="20"/>
              </w:rPr>
              <w:t>aa</w:t>
            </w:r>
            <w:proofErr w:type="spellEnd"/>
            <w:r w:rsidRPr="00186549">
              <w:rPr>
                <w:rFonts w:ascii="Times New Roman" w:hAnsi="Times New Roman"/>
                <w:sz w:val="20"/>
                <w:szCs w:val="20"/>
              </w:rPr>
              <w:t xml:space="preserve"> position)</w:t>
            </w:r>
          </w:p>
        </w:tc>
        <w:tc>
          <w:tcPr>
            <w:tcW w:w="610" w:type="pct"/>
            <w:tcBorders>
              <w:top w:val="single" w:sz="4" w:space="0" w:color="auto"/>
              <w:bottom w:val="single" w:sz="4" w:space="0" w:color="auto"/>
            </w:tcBorders>
          </w:tcPr>
          <w:p w14:paraId="254840FA" w14:textId="77777777" w:rsidR="0028385E" w:rsidRPr="00186549" w:rsidRDefault="0028385E" w:rsidP="00BA55AD">
            <w:pPr>
              <w:spacing w:after="0" w:line="360" w:lineRule="auto"/>
              <w:jc w:val="center"/>
              <w:rPr>
                <w:rFonts w:ascii="Times New Roman" w:hAnsi="Times New Roman"/>
                <w:b/>
                <w:sz w:val="20"/>
                <w:szCs w:val="20"/>
                <w:lang w:bidi="ar-SA"/>
              </w:rPr>
            </w:pPr>
            <w:r w:rsidRPr="00186549">
              <w:rPr>
                <w:rFonts w:ascii="Times New Roman" w:hAnsi="Times New Roman"/>
                <w:sz w:val="20"/>
                <w:szCs w:val="20"/>
              </w:rPr>
              <w:t>Template</w:t>
            </w:r>
          </w:p>
        </w:tc>
        <w:tc>
          <w:tcPr>
            <w:tcW w:w="1498" w:type="pct"/>
            <w:tcBorders>
              <w:top w:val="single" w:sz="4" w:space="0" w:color="auto"/>
              <w:bottom w:val="single" w:sz="4" w:space="0" w:color="auto"/>
            </w:tcBorders>
          </w:tcPr>
          <w:p w14:paraId="5FF17E13" w14:textId="77777777" w:rsidR="0028385E" w:rsidRPr="00186549" w:rsidRDefault="0028385E" w:rsidP="00BA55AD">
            <w:pPr>
              <w:spacing w:after="0" w:line="360" w:lineRule="auto"/>
              <w:jc w:val="center"/>
              <w:rPr>
                <w:rFonts w:ascii="Times New Roman" w:hAnsi="Times New Roman"/>
                <w:b/>
                <w:sz w:val="20"/>
                <w:szCs w:val="20"/>
                <w:lang w:bidi="ar-SA"/>
              </w:rPr>
            </w:pPr>
            <w:r w:rsidRPr="00186549">
              <w:rPr>
                <w:rFonts w:ascii="Times New Roman" w:hAnsi="Times New Roman"/>
                <w:sz w:val="20"/>
                <w:szCs w:val="20"/>
              </w:rPr>
              <w:t>Forward primer</w:t>
            </w:r>
          </w:p>
        </w:tc>
        <w:tc>
          <w:tcPr>
            <w:tcW w:w="1548" w:type="pct"/>
            <w:tcBorders>
              <w:top w:val="single" w:sz="4" w:space="0" w:color="auto"/>
              <w:bottom w:val="single" w:sz="4" w:space="0" w:color="auto"/>
            </w:tcBorders>
          </w:tcPr>
          <w:p w14:paraId="4E7E9523" w14:textId="77777777" w:rsidR="0028385E" w:rsidRPr="00186549" w:rsidRDefault="0028385E" w:rsidP="00BA55AD">
            <w:pPr>
              <w:spacing w:after="0" w:line="360" w:lineRule="auto"/>
              <w:ind w:left="24" w:right="921"/>
              <w:jc w:val="center"/>
              <w:rPr>
                <w:rFonts w:ascii="Times New Roman" w:hAnsi="Times New Roman"/>
                <w:b/>
                <w:sz w:val="20"/>
                <w:szCs w:val="20"/>
                <w:lang w:bidi="ar-SA"/>
              </w:rPr>
            </w:pPr>
            <w:r w:rsidRPr="00186549">
              <w:rPr>
                <w:rFonts w:ascii="Times New Roman" w:hAnsi="Times New Roman"/>
                <w:sz w:val="20"/>
                <w:szCs w:val="20"/>
              </w:rPr>
              <w:t>Reverse primer</w:t>
            </w:r>
          </w:p>
        </w:tc>
      </w:tr>
      <w:tr w:rsidR="0028385E" w:rsidRPr="00186549" w14:paraId="1B548CA2" w14:textId="77777777" w:rsidTr="00BA55AD">
        <w:tc>
          <w:tcPr>
            <w:tcW w:w="476" w:type="pct"/>
            <w:tcBorders>
              <w:top w:val="single" w:sz="4" w:space="0" w:color="auto"/>
            </w:tcBorders>
          </w:tcPr>
          <w:p w14:paraId="6446649D"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F1-2</w:t>
            </w:r>
          </w:p>
        </w:tc>
        <w:tc>
          <w:tcPr>
            <w:tcW w:w="868" w:type="pct"/>
            <w:tcBorders>
              <w:top w:val="single" w:sz="4" w:space="0" w:color="auto"/>
            </w:tcBorders>
          </w:tcPr>
          <w:p w14:paraId="7B8EC428"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 xml:space="preserve">N-terminus-PAZ </w:t>
            </w:r>
          </w:p>
        </w:tc>
        <w:tc>
          <w:tcPr>
            <w:tcW w:w="610" w:type="pct"/>
            <w:tcBorders>
              <w:top w:val="single" w:sz="4" w:space="0" w:color="auto"/>
            </w:tcBorders>
          </w:tcPr>
          <w:p w14:paraId="2F082CAA"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VP5-AGO2</w:t>
            </w:r>
          </w:p>
        </w:tc>
        <w:tc>
          <w:tcPr>
            <w:tcW w:w="1498" w:type="pct"/>
            <w:tcBorders>
              <w:top w:val="single" w:sz="4" w:space="0" w:color="auto"/>
            </w:tcBorders>
          </w:tcPr>
          <w:p w14:paraId="67A65298"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TTGTGGCATGAGAATTCAGTGGATCCACTAGT</w:t>
            </w:r>
          </w:p>
        </w:tc>
        <w:tc>
          <w:tcPr>
            <w:tcW w:w="1548" w:type="pct"/>
            <w:tcBorders>
              <w:top w:val="single" w:sz="4" w:space="0" w:color="auto"/>
            </w:tcBorders>
          </w:tcPr>
          <w:p w14:paraId="72BB6D14"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ATTCTCATGCCACAATGTTACAGACCTCCA</w:t>
            </w:r>
          </w:p>
        </w:tc>
      </w:tr>
      <w:tr w:rsidR="0028385E" w:rsidRPr="00186549" w14:paraId="3AE7168B" w14:textId="77777777" w:rsidTr="00BA55AD">
        <w:tc>
          <w:tcPr>
            <w:tcW w:w="476" w:type="pct"/>
          </w:tcPr>
          <w:p w14:paraId="15A3D9C7"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F3-4</w:t>
            </w:r>
          </w:p>
        </w:tc>
        <w:tc>
          <w:tcPr>
            <w:tcW w:w="868" w:type="pct"/>
          </w:tcPr>
          <w:p w14:paraId="49E6603D"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MID-PIWI</w:t>
            </w:r>
          </w:p>
        </w:tc>
        <w:tc>
          <w:tcPr>
            <w:tcW w:w="610" w:type="pct"/>
          </w:tcPr>
          <w:p w14:paraId="2606DFCD"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VP5-AGO2</w:t>
            </w:r>
          </w:p>
        </w:tc>
        <w:tc>
          <w:tcPr>
            <w:tcW w:w="1498" w:type="pct"/>
          </w:tcPr>
          <w:p w14:paraId="70C47491"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GCGGCCGCGGACAAAGATGTATTAAAAAATTAA</w:t>
            </w:r>
          </w:p>
        </w:tc>
        <w:tc>
          <w:tcPr>
            <w:tcW w:w="1548" w:type="pct"/>
          </w:tcPr>
          <w:p w14:paraId="3BB8C840"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TTTGTCCGCGGCCGCTAGCGTAATC</w:t>
            </w:r>
          </w:p>
        </w:tc>
      </w:tr>
      <w:tr w:rsidR="0028385E" w:rsidRPr="00186549" w14:paraId="34F8A63E" w14:textId="77777777" w:rsidTr="00BA55AD">
        <w:tc>
          <w:tcPr>
            <w:tcW w:w="476" w:type="pct"/>
          </w:tcPr>
          <w:p w14:paraId="4E589D6D"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F1</w:t>
            </w:r>
          </w:p>
        </w:tc>
        <w:tc>
          <w:tcPr>
            <w:tcW w:w="868" w:type="pct"/>
          </w:tcPr>
          <w:p w14:paraId="389C2AA7"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 xml:space="preserve">N-terminus (1-234) </w:t>
            </w:r>
          </w:p>
        </w:tc>
        <w:tc>
          <w:tcPr>
            <w:tcW w:w="610" w:type="pct"/>
          </w:tcPr>
          <w:p w14:paraId="5A1D0A27"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F1-2</w:t>
            </w:r>
          </w:p>
        </w:tc>
        <w:tc>
          <w:tcPr>
            <w:tcW w:w="1498" w:type="pct"/>
          </w:tcPr>
          <w:p w14:paraId="271B70EE"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AGTTTGTTTGAGAATTCAGTGGATCC</w:t>
            </w:r>
          </w:p>
        </w:tc>
        <w:tc>
          <w:tcPr>
            <w:tcW w:w="1548" w:type="pct"/>
          </w:tcPr>
          <w:p w14:paraId="62C8307A"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ATTCTCAAACAAACTCGATTACTGGCTGTGC</w:t>
            </w:r>
          </w:p>
        </w:tc>
      </w:tr>
      <w:tr w:rsidR="0028385E" w:rsidRPr="00186549" w14:paraId="43E0C7A5" w14:textId="77777777" w:rsidTr="00BA55AD">
        <w:tc>
          <w:tcPr>
            <w:tcW w:w="476" w:type="pct"/>
          </w:tcPr>
          <w:p w14:paraId="420E5DE8"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F2</w:t>
            </w:r>
          </w:p>
        </w:tc>
        <w:tc>
          <w:tcPr>
            <w:tcW w:w="868" w:type="pct"/>
          </w:tcPr>
          <w:p w14:paraId="3C356EC3"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PAZ (235-348)</w:t>
            </w:r>
          </w:p>
        </w:tc>
        <w:tc>
          <w:tcPr>
            <w:tcW w:w="610" w:type="pct"/>
          </w:tcPr>
          <w:p w14:paraId="68E714BD"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F1-2</w:t>
            </w:r>
          </w:p>
        </w:tc>
        <w:tc>
          <w:tcPr>
            <w:tcW w:w="1498" w:type="pct"/>
          </w:tcPr>
          <w:p w14:paraId="04139811"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GCGGCCGCTGTGAAGTTTTGGATTTTAAAAG</w:t>
            </w:r>
          </w:p>
        </w:tc>
        <w:tc>
          <w:tcPr>
            <w:tcW w:w="1548" w:type="pct"/>
          </w:tcPr>
          <w:p w14:paraId="7EBD6BE2"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CTTCACAGCGGCCGCTAGCGTAATC</w:t>
            </w:r>
          </w:p>
        </w:tc>
      </w:tr>
      <w:tr w:rsidR="0028385E" w:rsidRPr="00186549" w14:paraId="09B0BD17" w14:textId="77777777" w:rsidTr="00BA55AD">
        <w:tc>
          <w:tcPr>
            <w:tcW w:w="476" w:type="pct"/>
          </w:tcPr>
          <w:p w14:paraId="2157D93D"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F3</w:t>
            </w:r>
          </w:p>
        </w:tc>
        <w:tc>
          <w:tcPr>
            <w:tcW w:w="868" w:type="pct"/>
          </w:tcPr>
          <w:p w14:paraId="4235B9E6" w14:textId="77777777" w:rsidR="0028385E" w:rsidRPr="00186549" w:rsidRDefault="0028385E" w:rsidP="00BA55AD">
            <w:pPr>
              <w:spacing w:after="0" w:line="360" w:lineRule="auto"/>
              <w:rPr>
                <w:rFonts w:ascii="Times New Roman" w:hAnsi="Times New Roman"/>
                <w:sz w:val="20"/>
                <w:szCs w:val="20"/>
              </w:rPr>
            </w:pPr>
            <w:r w:rsidRPr="00186549">
              <w:rPr>
                <w:rFonts w:ascii="Times New Roman" w:hAnsi="Times New Roman"/>
                <w:sz w:val="20"/>
                <w:szCs w:val="20"/>
              </w:rPr>
              <w:t>MID (349-516)</w:t>
            </w:r>
          </w:p>
        </w:tc>
        <w:tc>
          <w:tcPr>
            <w:tcW w:w="610" w:type="pct"/>
          </w:tcPr>
          <w:p w14:paraId="22298400"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F3-4</w:t>
            </w:r>
          </w:p>
        </w:tc>
        <w:tc>
          <w:tcPr>
            <w:tcW w:w="1498" w:type="pct"/>
          </w:tcPr>
          <w:p w14:paraId="2DB9A681"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GCCTGCAGTGAGAATTCAGTGGATCCACTAGT</w:t>
            </w:r>
          </w:p>
        </w:tc>
        <w:tc>
          <w:tcPr>
            <w:tcW w:w="1548" w:type="pct"/>
          </w:tcPr>
          <w:p w14:paraId="463566AC"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ATTCTCACTGCAGGCCCGCATACGT</w:t>
            </w:r>
          </w:p>
        </w:tc>
      </w:tr>
      <w:tr w:rsidR="0028385E" w:rsidRPr="00186549" w14:paraId="0614C6AC" w14:textId="77777777" w:rsidTr="00BA55AD">
        <w:tc>
          <w:tcPr>
            <w:tcW w:w="476" w:type="pct"/>
          </w:tcPr>
          <w:p w14:paraId="5C52BE58"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F4</w:t>
            </w:r>
          </w:p>
        </w:tc>
        <w:tc>
          <w:tcPr>
            <w:tcW w:w="868" w:type="pct"/>
          </w:tcPr>
          <w:p w14:paraId="6D5D2F80" w14:textId="77777777" w:rsidR="0028385E" w:rsidRPr="00186549" w:rsidRDefault="0028385E" w:rsidP="00BA55AD">
            <w:pPr>
              <w:spacing w:after="0" w:line="360" w:lineRule="auto"/>
              <w:rPr>
                <w:rFonts w:ascii="Times New Roman" w:hAnsi="Times New Roman"/>
                <w:sz w:val="20"/>
                <w:szCs w:val="20"/>
              </w:rPr>
            </w:pPr>
            <w:r w:rsidRPr="00186549">
              <w:rPr>
                <w:rFonts w:ascii="Times New Roman" w:hAnsi="Times New Roman"/>
                <w:sz w:val="20"/>
                <w:szCs w:val="20"/>
              </w:rPr>
              <w:t>PIWI (517-859)</w:t>
            </w:r>
          </w:p>
        </w:tc>
        <w:tc>
          <w:tcPr>
            <w:tcW w:w="610" w:type="pct"/>
          </w:tcPr>
          <w:p w14:paraId="2AF4332B"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F3-4</w:t>
            </w:r>
          </w:p>
        </w:tc>
        <w:tc>
          <w:tcPr>
            <w:tcW w:w="1498" w:type="pct"/>
          </w:tcPr>
          <w:p w14:paraId="755BC139"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GCGGCCGCCTGGTGGTGGTCATCCTGC</w:t>
            </w:r>
          </w:p>
        </w:tc>
        <w:tc>
          <w:tcPr>
            <w:tcW w:w="1548" w:type="pct"/>
          </w:tcPr>
          <w:p w14:paraId="5C10A848" w14:textId="77777777" w:rsidR="0028385E" w:rsidRPr="00186549" w:rsidRDefault="0028385E" w:rsidP="00BA55AD">
            <w:pPr>
              <w:spacing w:after="0" w:line="360" w:lineRule="auto"/>
              <w:rPr>
                <w:rFonts w:ascii="Times New Roman" w:hAnsi="Times New Roman"/>
                <w:b/>
                <w:sz w:val="20"/>
                <w:szCs w:val="20"/>
                <w:lang w:bidi="ar-SA"/>
              </w:rPr>
            </w:pPr>
            <w:r w:rsidRPr="00186549">
              <w:rPr>
                <w:rFonts w:ascii="Times New Roman" w:hAnsi="Times New Roman"/>
                <w:sz w:val="20"/>
                <w:szCs w:val="20"/>
              </w:rPr>
              <w:t>CCACCAGGCGGCCGCTAGCGTAATC</w:t>
            </w:r>
          </w:p>
        </w:tc>
      </w:tr>
    </w:tbl>
    <w:p w14:paraId="66167944" w14:textId="77777777" w:rsidR="0028385E" w:rsidRPr="00186549" w:rsidRDefault="0028385E" w:rsidP="0028385E">
      <w:pPr>
        <w:spacing w:after="0" w:line="240" w:lineRule="auto"/>
        <w:jc w:val="left"/>
        <w:rPr>
          <w:rFonts w:ascii="Times New Roman" w:hAnsi="Times New Roman"/>
          <w:b/>
          <w:lang w:bidi="ar-SA"/>
        </w:rPr>
      </w:pPr>
    </w:p>
    <w:p w14:paraId="07371C2B" w14:textId="77777777" w:rsidR="00867297" w:rsidRDefault="00867297"/>
    <w:sectPr w:rsidR="00867297" w:rsidSect="0086729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5E"/>
    <w:rsid w:val="001C33A7"/>
    <w:rsid w:val="00261AF1"/>
    <w:rsid w:val="0028385E"/>
    <w:rsid w:val="002B6974"/>
    <w:rsid w:val="00501EE8"/>
    <w:rsid w:val="005404C2"/>
    <w:rsid w:val="00820EA2"/>
    <w:rsid w:val="00867297"/>
    <w:rsid w:val="008F6A50"/>
    <w:rsid w:val="00941E8D"/>
    <w:rsid w:val="00A77F6B"/>
    <w:rsid w:val="00B3396F"/>
    <w:rsid w:val="00BF58D7"/>
    <w:rsid w:val="00D13547"/>
    <w:rsid w:val="00D6043D"/>
    <w:rsid w:val="00DA6F16"/>
    <w:rsid w:val="00E8587A"/>
    <w:rsid w:val="00F968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3D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5E"/>
    <w:pPr>
      <w:spacing w:after="200" w:line="276" w:lineRule="auto"/>
      <w:jc w:val="both"/>
    </w:pPr>
    <w:rPr>
      <w:rFonts w:ascii="Calibri" w:eastAsia="Times New Roman" w:hAnsi="Calibri" w:cs="Times New Roman"/>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385E"/>
    <w:rPr>
      <w:rFonts w:ascii="Calibri" w:eastAsia="Times New Roman" w:hAnsi="Calibri" w:cs="Times New Roman"/>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20EA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0EA2"/>
    <w:rPr>
      <w:rFonts w:ascii="Lucida Grande" w:eastAsia="Times New Roman" w:hAnsi="Lucida Grande" w:cs="Lucida Grande"/>
      <w:sz w:val="18"/>
      <w:szCs w:val="18"/>
      <w:lang w:val="en-US" w:eastAsia="en-US" w:bidi="en-US"/>
    </w:rPr>
  </w:style>
  <w:style w:type="paragraph" w:customStyle="1" w:styleId="Bibliografa1">
    <w:name w:val="Bibliografía1"/>
    <w:basedOn w:val="Normal"/>
    <w:rsid w:val="008F6A50"/>
    <w:pPr>
      <w:tabs>
        <w:tab w:val="left" w:pos="380"/>
      </w:tabs>
      <w:spacing w:after="240" w:line="240" w:lineRule="auto"/>
      <w:ind w:left="384" w:hanging="384"/>
      <w:jc w:val="left"/>
    </w:pPr>
    <w:rPr>
      <w:rFonts w:ascii="Times New Roman" w:hAnsi="Times New Roman"/>
      <w:b/>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5E"/>
    <w:pPr>
      <w:spacing w:after="200" w:line="276" w:lineRule="auto"/>
      <w:jc w:val="both"/>
    </w:pPr>
    <w:rPr>
      <w:rFonts w:ascii="Calibri" w:eastAsia="Times New Roman" w:hAnsi="Calibri" w:cs="Times New Roman"/>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385E"/>
    <w:rPr>
      <w:rFonts w:ascii="Calibri" w:eastAsia="Times New Roman" w:hAnsi="Calibri" w:cs="Times New Roman"/>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20EA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0EA2"/>
    <w:rPr>
      <w:rFonts w:ascii="Lucida Grande" w:eastAsia="Times New Roman" w:hAnsi="Lucida Grande" w:cs="Lucida Grande"/>
      <w:sz w:val="18"/>
      <w:szCs w:val="18"/>
      <w:lang w:val="en-US" w:eastAsia="en-US" w:bidi="en-US"/>
    </w:rPr>
  </w:style>
  <w:style w:type="paragraph" w:customStyle="1" w:styleId="Bibliografa1">
    <w:name w:val="Bibliografía1"/>
    <w:basedOn w:val="Normal"/>
    <w:rsid w:val="008F6A50"/>
    <w:pPr>
      <w:tabs>
        <w:tab w:val="left" w:pos="380"/>
      </w:tabs>
      <w:spacing w:after="240" w:line="240" w:lineRule="auto"/>
      <w:ind w:left="384" w:hanging="384"/>
      <w:jc w:val="left"/>
    </w:pPr>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4222</Words>
  <Characters>23223</Characters>
  <Application>Microsoft Macintosh Word</Application>
  <DocSecurity>0</DocSecurity>
  <Lines>193</Lines>
  <Paragraphs>54</Paragraphs>
  <ScaleCrop>false</ScaleCrop>
  <Company/>
  <LinksUpToDate>false</LinksUpToDate>
  <CharactersWithSpaces>27391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17</cp:revision>
  <dcterms:created xsi:type="dcterms:W3CDTF">2021-02-15T08:08:00Z</dcterms:created>
  <dcterms:modified xsi:type="dcterms:W3CDTF">2021-04-08T11:44:00Z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id="4FnzIhS9"/&gt;&lt;style id="http://www.zotero.org/styles/neurology" hasBibliography="1" bibliographyStyleHasBeenSet="1"/&gt;&lt;prefs&gt;&lt;pref name="fieldType" value="Field"/&gt;&lt;pref name="automaticJournalAbbre</vt:lpwstr>
  </property>
  <property fmtid="{D5CDD505-2E9C-101B-9397-08002B2CF9AE}" pid="3" name="ZOTERO_PREF_2">
    <vt:lpwstr>viations" value="true"/&gt;&lt;pref name="delayCitationUpdates" value="true"/&gt;&lt;pref name="dontAskDelayCitationUpdates" value="true"/&gt;&lt;/prefs&gt;&lt;/data&gt;</vt:lpwstr>
  </property>
</Properties>
</file>