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395" w:leader="none"/>
        </w:tabs>
        <w:spacing w:lineRule="auto" w:line="360" w:before="0" w:after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-47625</wp:posOffset>
            </wp:positionH>
            <wp:positionV relativeFrom="paragraph">
              <wp:posOffset>-59055</wp:posOffset>
            </wp:positionV>
            <wp:extent cx="5760720" cy="32404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1395" w:leader="none"/>
        </w:tabs>
        <w:spacing w:lineRule="auto" w:line="360" w:before="0" w:after="0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Supplemental Figure. Distribution of CSF IL-8 levels in patient subgroups according to electro-clinical criteria.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color w:val="000000"/>
          <w:lang w:val="en-US"/>
        </w:rPr>
      </w:pPr>
      <w:r>
        <w:rPr>
          <w:rFonts w:eastAsia="Times New Roman" w:cs="Arial" w:ascii="Arial" w:hAnsi="Arial"/>
          <w:color w:val="000000"/>
          <w:lang w:val="en-GB"/>
        </w:rPr>
        <w:t xml:space="preserve">Box-and-whisker plot (median, first and third </w:t>
      </w:r>
      <w:r>
        <w:rPr>
          <w:rFonts w:cs="Arial" w:ascii="Arial" w:hAnsi="Arial"/>
          <w:lang w:val="en-US"/>
        </w:rPr>
        <w:t>quartiles</w:t>
      </w:r>
      <w:r>
        <w:rPr>
          <w:rFonts w:eastAsia="Times New Roman" w:cs="Arial" w:ascii="Arial" w:hAnsi="Arial"/>
          <w:color w:val="000000"/>
          <w:lang w:val="en-GB"/>
        </w:rPr>
        <w:t xml:space="preserve">, range) of the distribution of CSF IL-8 levels </w:t>
      </w:r>
      <w:r>
        <w:rPr>
          <w:rFonts w:eastAsia="Times New Roman" w:cs="Arial" w:ascii="Arial" w:hAnsi="Arial"/>
          <w:color w:val="000000"/>
          <w:lang w:val="en-US"/>
        </w:rPr>
        <w:t>in patient subgroups</w:t>
      </w:r>
      <w:r>
        <w:rPr>
          <w:rFonts w:eastAsia="Times New Roman" w:cs="Arial" w:ascii="Arial" w:hAnsi="Arial"/>
          <w:color w:val="000000"/>
          <w:lang w:val="en-GB"/>
        </w:rPr>
        <w:t xml:space="preserve">. </w:t>
      </w:r>
      <w:r>
        <w:rPr>
          <w:rFonts w:eastAsia="Times New Roman" w:cs="Arial" w:ascii="Arial" w:hAnsi="Arial"/>
          <w:color w:val="000000"/>
          <w:lang w:val="en-US"/>
        </w:rPr>
        <w:t xml:space="preserve">Among GBS subcategories, CSF IL-8 concentration was higher in AIDP as opposed to axonal GBS phenotypes (AMAN and AMSAN) or MFS (p&lt;0.001). When compared with typical (n = 17, median: 41.1 pg/ml; </w:t>
      </w:r>
      <w:r>
        <w:rPr>
          <w:rStyle w:val="St1"/>
          <w:rFonts w:cs="Arial" w:ascii="Arial" w:hAnsi="Arial"/>
          <w:lang w:val="en-US"/>
        </w:rPr>
        <w:t>IQR 16.6 (51.9-35.3)</w:t>
      </w:r>
      <w:r>
        <w:rPr>
          <w:rFonts w:eastAsia="Times New Roman" w:cs="Arial" w:ascii="Arial" w:hAnsi="Arial"/>
          <w:color w:val="000000"/>
          <w:lang w:val="en-US"/>
        </w:rPr>
        <w:t xml:space="preserve">) and atypical CIDP (n=13, median: 37.6 pg/ml; </w:t>
      </w:r>
      <w:r>
        <w:rPr>
          <w:rStyle w:val="St1"/>
          <w:rFonts w:cs="Arial" w:ascii="Arial" w:hAnsi="Arial"/>
          <w:lang w:val="en-US"/>
        </w:rPr>
        <w:t>IQR 21.2 (57-35.8)</w:t>
      </w:r>
      <w:r>
        <w:rPr>
          <w:rFonts w:eastAsia="Times New Roman" w:cs="Arial" w:ascii="Arial" w:hAnsi="Arial"/>
          <w:color w:val="000000"/>
          <w:lang w:val="en-US"/>
        </w:rPr>
        <w:t xml:space="preserve">), CSF IL-8 was significantly increased in the AIDP variant </w:t>
      </w:r>
      <w:r>
        <w:rPr>
          <w:rStyle w:val="St1"/>
          <w:rFonts w:cs="Arial" w:ascii="Arial" w:hAnsi="Arial"/>
          <w:color w:val="000000" w:themeColor="text1"/>
          <w:lang w:val="en-US"/>
        </w:rPr>
        <w:t>(n = 33; median: 101.8 pg/ml, IQR 74.2 (146.6-72.4))</w:t>
      </w:r>
      <w:r>
        <w:rPr>
          <w:rFonts w:eastAsia="Times New Roman" w:cs="Arial" w:ascii="Arial" w:hAnsi="Arial"/>
          <w:color w:val="000000"/>
          <w:lang w:val="en-US"/>
        </w:rPr>
        <w:t xml:space="preserve"> (p&lt;0.0001). </w:t>
      </w:r>
      <w:r>
        <w:rPr>
          <w:rFonts w:eastAsia="Times New Roman" w:cs="Arial" w:ascii="Arial" w:hAnsi="Arial"/>
          <w:color w:val="000000"/>
          <w:lang w:val="en-GB"/>
        </w:rPr>
        <w:t xml:space="preserve">Abbreviations: </w:t>
      </w:r>
      <w:r>
        <w:rPr>
          <w:rFonts w:eastAsia="Times New Roman" w:cs="Arial" w:ascii="Arial" w:hAnsi="Arial"/>
          <w:color w:val="000000"/>
          <w:lang w:val="en-US"/>
        </w:rPr>
        <w:t>AIDP, acute inflammatory demyelinating polyneuropathy; AMAN, acute motor axonal neuropathy; AMSAN, acute motor and sensitive axonal neuropathy; GBS, Guillain-Barre syndrome; CIDP, chronic inflammatory demyelinating polyneuropathy.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45609346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0618"/>
    <w:pPr>
      <w:widowControl/>
      <w:bidi w:val="0"/>
      <w:spacing w:lineRule="auto" w:line="259" w:before="0" w:after="160"/>
      <w:jc w:val="left"/>
    </w:pPr>
    <w:rPr>
      <w:rFonts w:eastAsia="SimSun" w:ascii="Calibri" w:hAnsi="Calibri" w:cs="" w:asciiTheme="minorHAnsi" w:cstheme="minorBidi" w:hAnsiTheme="minorHAnsi"/>
      <w:color w:val="auto"/>
      <w:kern w:val="0"/>
      <w:sz w:val="22"/>
      <w:szCs w:val="22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a0618"/>
    <w:rPr>
      <w:rFonts w:eastAsia="SimSun"/>
      <w:lang w:val="fr-CH"/>
    </w:rPr>
  </w:style>
  <w:style w:type="character" w:styleId="St1" w:customStyle="1">
    <w:name w:val="st1"/>
    <w:basedOn w:val="DefaultParagraphFont"/>
    <w:qFormat/>
    <w:rsid w:val="001a061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1a0618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1</Pages>
  <Words>123</Words>
  <Characters>768</Characters>
  <CharactersWithSpaces>888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2021-04-14T13:59:00Z</dcterms:created>
  <dc:creator>Morgan Sorenson</dc:creator>
  <dc:description/>
  <dc:language>en-IN</dc:language>
  <cp:lastModifiedBy/>
  <dcterms:modified xsi:type="dcterms:W3CDTF">2021-05-29T21:36:14Z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