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D8" w:rsidRDefault="003A6891">
      <w:pPr>
        <w:rPr>
          <w:rFonts w:ascii="Times New Roman" w:hAnsi="Times New Roman" w:cs="Times New Roman"/>
          <w:b/>
          <w:bCs/>
          <w:sz w:val="28"/>
          <w:szCs w:val="28"/>
          <w:lang w:val="en-US"/>
        </w:rPr>
      </w:pPr>
      <w:r w:rsidRPr="003A6891">
        <w:rPr>
          <w:rFonts w:ascii="Times New Roman" w:hAnsi="Times New Roman" w:cs="Times New Roman"/>
          <w:b/>
          <w:bCs/>
          <w:sz w:val="28"/>
          <w:szCs w:val="28"/>
          <w:lang w:val="en-US"/>
        </w:rPr>
        <w:t>Supplemental material 1</w:t>
      </w:r>
    </w:p>
    <w:p w:rsidR="003A6891" w:rsidRDefault="003A6891">
      <w:pPr>
        <w:rPr>
          <w:rFonts w:ascii="Times New Roman" w:hAnsi="Times New Roman" w:cs="Times New Roman"/>
          <w:b/>
          <w:bCs/>
          <w:sz w:val="28"/>
          <w:szCs w:val="28"/>
          <w:lang w:val="en-US"/>
        </w:rPr>
      </w:pPr>
    </w:p>
    <w:p w:rsidR="003A6891" w:rsidRPr="00607274" w:rsidRDefault="003A6891" w:rsidP="003A6891">
      <w:pPr>
        <w:rPr>
          <w:rFonts w:ascii="Times New Roman" w:hAnsi="Times New Roman" w:cs="Times New Roman"/>
          <w:b/>
          <w:bCs/>
          <w:sz w:val="24"/>
          <w:szCs w:val="24"/>
          <w:lang w:val="en-GB"/>
        </w:rPr>
      </w:pPr>
      <w:r w:rsidRPr="00607274">
        <w:rPr>
          <w:rFonts w:ascii="Times New Roman" w:hAnsi="Times New Roman" w:cs="Times New Roman"/>
          <w:b/>
          <w:bCs/>
          <w:sz w:val="24"/>
          <w:szCs w:val="24"/>
          <w:lang w:val="en-GB"/>
        </w:rPr>
        <w:t>Inclusion and exclusion criteria</w:t>
      </w:r>
    </w:p>
    <w:p w:rsidR="003A6891" w:rsidRPr="00607274" w:rsidRDefault="003A6891" w:rsidP="003A6891">
      <w:pPr>
        <w:rPr>
          <w:rFonts w:ascii="Times New Roman" w:hAnsi="Times New Roman" w:cs="Times New Roman"/>
          <w:b/>
          <w:bCs/>
          <w:sz w:val="20"/>
          <w:szCs w:val="20"/>
          <w:lang w:val="en-GB"/>
        </w:rPr>
      </w:pPr>
      <w:bookmarkStart w:id="0" w:name="_m28p4wiowws9" w:colFirst="0" w:colLast="0"/>
      <w:bookmarkStart w:id="1" w:name="_Toc42601659"/>
      <w:bookmarkEnd w:id="0"/>
      <w:r w:rsidRPr="00607274">
        <w:rPr>
          <w:rFonts w:ascii="Times New Roman" w:hAnsi="Times New Roman" w:cs="Times New Roman"/>
          <w:b/>
          <w:bCs/>
          <w:sz w:val="20"/>
          <w:szCs w:val="20"/>
          <w:lang w:val="en-GB"/>
        </w:rPr>
        <w:t>Inclusion criteria</w:t>
      </w:r>
      <w:bookmarkEnd w:id="1"/>
    </w:p>
    <w:p w:rsidR="003A6891" w:rsidRPr="00881355" w:rsidRDefault="003A6891" w:rsidP="003A6891">
      <w:pPr>
        <w:numPr>
          <w:ilvl w:val="0"/>
          <w:numId w:val="2"/>
        </w:numPr>
        <w:spacing w:before="120"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Age 18 to 65 years</w:t>
      </w:r>
    </w:p>
    <w:p w:rsidR="003A6891" w:rsidRPr="00881355" w:rsidRDefault="003A6891" w:rsidP="003A6891">
      <w:pPr>
        <w:numPr>
          <w:ilvl w:val="0"/>
          <w:numId w:val="2"/>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PPMS according to the McDonald (2010) and Lublin (2014) criteria</w:t>
      </w:r>
      <w:r>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"10.1002/ana.22366", "ISSN" : "03645134", "PMID" : "21387374", "abstract" : "New evidence and consensus has led to further revision of the McDonald Criteria for diagnosis of multiple sclerosis. The use of imaging for demonstration of dissemination of central nervous system lesions in space and time has been simplified, and in some circumstances dissemination in space and time can be established by a single scan. These revisions simplify the Criteria, preserve their diagnostic sensitivity and specificity, address their applicability across populations, and may allow earlier diagnosis and more uniform and widespread use. Copyright \u00a9 2011 American Neurological Association.", "author" : [ { "dropping-particle" : "", "family" : "Polman", "given" : "Chris H.", "non-dropping-particle" : "", "parse-names" : false, "suffix" : "" }, { "dropping-particle" : "", "family" : "Reingold", "given" : "Stephen C.", "non-dropping-particle" : "", "parse-names" : false, "suffix" : "" }, { "dropping-particle" : "", "family" : "Banwell", "given" : "Brenda", "non-dropping-particle" : "", "parse-names" : false, "suffix" : "" }, { "dropping-particle" : "", "family" : "Clanet", "given" : "Michel", "non-dropping-particle" : "", "parse-names" : false, "suffix" : "" }, { "dropping-particle" : "", "family" : "Cohen", "given" : "Jeffrey A.", "non-dropping-particle" : "", "parse-names" : false, "suffix" : "" }, { "dropping-particle" : "", "family" : "Filippi", "given" : "Massimo", "non-dropping-particle" : "", "parse-names" : false, "suffix" : "" }, { "dropping-particle" : "", "family" : "Fujihara", "given" : "Kazuo", "non-dropping-particle" : "", "parse-names" : false, "suffix" : "" }, { "dropping-particle" : "", "family" : "Havrdova", "given" : "Eva", "non-dropping-particle" : "", "parse-names" : false, "suffix" : "" }, { "dropping-particle" : "", "family" : "Hutchinson", "given" : "Michael", "non-dropping-particle" : "", "parse-names" : false, "suffix" : "" }, { "dropping-particle" : "", "family" : "Kappos", "given" : "Ludwig", "non-dropping-particle" : "", "parse-names" : false, "suffix" : "" }, { "dropping-particle" : "", "family" : "Lublin", "given" : "Fred D.", "non-dropping-particle" : "", "parse-names" : false, "suffix" : "" }, { "dropping-particle" : "", "family" : "Montalban", "given" : "Xavier", "non-dropping-particle" : "", "parse-names" : false, "suffix" : "" }, { "dropping-particle" : "", "family" : "O'Connor", "given" : "Paul", "non-dropping-particle" : "", "parse-names" : false, "suffix" : "" }, { "dropping-particle" : "", "family" : "Sandberg-Wollheim", "given" : "Magnhild", "non-dropping-particle" : "", "parse-names" : false, "suffix" : "" }, { "dropping-particle" : "", "family" : "Thompson", "given" : "Alan J.", "non-dropping-particle" : "", "parse-names" : false, "suffix" : "" }, { "dropping-particle" : "", "family" : "Waubant", "given" : "Emmanuelle", "non-dropping-particle" : "", "parse-names" : false, "suffix" : "" }, { "dropping-particle" : "", "family" : "Weinshenker", "given" : "Brian", "non-dropping-particle" : "", "parse-names" : false, "suffix" : "" }, { "dropping-particle" : "", "family" : "Wolinsky", "given" : "Jerry S.", "non-dropping-particle" : "", "parse-names" : false, "suffix" : "" } ], "container-title" : "Annals of Neurology", "id" : "ITEM-1", "issue" : "2", "issued" : { "date-parts" : [ [ "2011", "2" ] ] }, "page" : "292-302", "title" : "Diagnostic criteria for multiple sclerosis: 2010 Revisions to the McDonald criteria", "type" : "article-journal", "volume" : "69" }, "uris" : [ "http://www.mendeley.com/documents/?uuid=2b7f2883-0dad-3021-ad5b-fe4339539c89" ] }, { "id" : "ITEM-2", "itemData" : { "DOI" : "10.1212/WNL.0000000000000560", "ISSN" : "1526632X", "PMID" : "24871874", "abstract" : "Accurate clinical course descriptions (phenotypes) of multiple sclerosis (MS) are important for communication, prognostication, design and recruitment of clinical trials, and treatment decision-making. Standardized descriptions published in 1996 based on a survey of international MS experts provided purely clinical phenotypes based on data and consensus at that time, but imaging and biological correlates were lacking. Increased understanding of MS and its pathology, coupled with general concern that the original descriptors may not adequately reflect more recently identified clinical aspects of the disease, prompted a re-examination of MS disease phenotypes by the International Advisory Committee on Clinical Trials of MS. While imaging and biological markers that might provide objective criteria for separating clinical phenotypes are lacking, we propose refined descriptors that include consideration of disease activity (based on clinical relapse rate and imaging findings) and disease progression. Strategies for future research to better define phenotypes are also outlined. \u00a9 2014 American Academy of Neurology.", "author" : [ { "dropping-particle" : "", "family" : "Lublin", "given" : "Fred D.", "non-dropping-particle" : "", "parse-names" : false, "suffix" : "" }, { "dropping-particle" : "", "family" : "Reingold", "given" : "Stephen C.", "non-dropping-particle" : "", "parse-names" : false, "suffix" : "" }, { "dropping-particle" : "", "family" : "Cohen", "given" : "Jeffrey A.", "non-dropping-particle" : "", "parse-names" : false, "suffix" : "" }, { "dropping-particle" : "", "family" : "Cutter", "given" : "Gary R.", "non-dropping-particle" : "", "parse-names" : false, "suffix" : "" }, { "dropping-particle" : "", "family" : "S\u00f8rensen", "given" : "Per Soelberg", "non-dropping-particle" : "", "parse-names" : false, "suffix" : "" }, { "dropping-particle" : "", "family" : "Thompson", "given" : "Alan J.", "non-dropping-particle" : "", "parse-names" : false, "suffix" : "" }, { "dropping-particle" : "", "family" : "Wolinsky", "given" : "Jerry S.", "non-dropping-particle" : "", "parse-names" : false, "suffix" : "" }, { "dropping-particle" : "", "family" : "Balcer", "given" : "Laura J.", "non-dropping-particle" : "", "parse-names" : false, "suffix" : "" }, { "dropping-particle" : "", "family" : "Banwell", "given" : "Brenda", "non-dropping-particle" : "", "parse-names" : false, "suffix" : "" }, { "dropping-particle" : "", "family" : "Barkhof", "given" : "Frederik", "non-dropping-particle" : "", "parse-names" : false, "suffix" : "" }, { "dropping-particle" : "", "family" : "Bebo", "given" : "Bruce", "non-dropping-particle" : "", "parse-names" : false, "suffix" : "" }, { "dropping-particle" : "", "family" : "Calabresi", "given" : "Peter A.", "non-dropping-particle" : "", "parse-names" : false, "suffix" : "" }, { "dropping-particle" : "", "family" : "Clanet", "given" : "Michel", "non-dropping-particle" : "", "parse-names" : false, "suffix" : "" }, { "dropping-particle" : "", "family" : "Comi", "given" : "Giancarlo", "non-dropping-particle" : "", "parse-names" : false, "suffix" : "" }, { "dropping-particle" : "", "family" : "Fox", "given" : "Robert J.", "non-dropping-particle" : "", "parse-names" : false, "suffix" : "" }, { "dropping-particle" : "", "family" : "Freedman", "given" : "Mark S.", "non-dropping-particle" : "", "parse-names" : false, "suffix" : "" }, { "dropping-particle" : "", "family" : "Goodman", "given" : "Andrew D.", "non-dropping-particle" : "", "parse-names" : false, "suffix" : "" }, { "dropping-particle" : "", "family" : "Inglese", "given" : "Matilde", "non-dropping-particle" : "", "parse-names" : false, "suffix" : "" }, { "dropping-particle" : "", "family" : "Kappos", "given" : "Ludwig", "non-dropping-particle" : "", "parse-names" : false, "suffix" : "" }, { "dropping-particle" : "", "family" : "Kieseier", "given" : "Bernd C.", "non-dropping-particle" : "", "parse-names" : false, "suffix" : "" }, { "dropping-particle" : "", "family" : "Lincoln", "given" : "John A.", "non-dropping-particle" : "", "parse-names" : false, "suffix" : "" }, { "dropping-particle" : "", "family" : "Lubetzki", "given" : "Catherine", "non-dropping-particle" : "", "parse-names" : false, "suffix" : "" }, { "dropping-particle" : "", "family" : "Miller", "given" : "Aaron E.", "non-dropping-particle" : "", "parse-names" : false, "suffix" : "" }, { "dropping-particle" : "", "family" : "Montalban", "given" : "Xavier", "non-dropping-particle" : "", "parse-names" : false, "suffix" : "" }, { "dropping-particle" : "", "family" : "O'Connor", "given" : "Paul W.", "non-dropping-particle" : "", "parse-names" : false, "suffix" : "" }, { "dropping-particle" : "", "family" : "Petkau", "given" : "John", "non-dropping-particle" : "", "parse-names" : false, "suffix" : "" }, { "dropping-particle" : "", "family" : "Pozzilli", "given" : "Carlo", "non-dropping-particle" : "", "parse-names" : false, "suffix" : "" }, { "dropping-particle" : "", "family" : "Rudick", "given" : "Richard A.", "non-dropping-particle" : "", "parse-names" : false, "suffix" : "" }, { "dropping-particle" : "", "family" : "Sormani", "given" : "Maria Pia", "non-dropping-particle" : "", "parse-names" : false, "suffix" : "" }, { "dropping-particle" : "", "family" : "St\u00fcve", "given" : "Olaf", "non-dropping-particle" : "", "parse-names" : false, "suffix" : "" }, { "dropping-particle" : "", "family" : "Waubant", "given" : "Emmanuelle", "non-dropping-particle" : "", "parse-names" : false, "suffix" : "" }, { "dropping-particle" : "", "family" : "Polman", "given" : "Chris H.", "non-dropping-particle" : "", "parse-names" : false, "suffix" : "" } ], "container-title" : "Neurology", "id" : "ITEM-2", "issue" : "3", "issued" : { "date-parts" : [ [ "2014" ] ] }, "page" : "278-286", "title" : "Defining the clinical course of multiple sclerosis: The 2013 revisions", "type" : "article", "volume" : "83" }, "uris" : [ "http://www.mendeley.com/documents/?uuid=1132ddaa-06e6-4d02-bac7-c8130caa97e6" ] } ], "mendeley" : { "formattedCitation" : "&lt;sup&gt;1&lt;/sup&gt;,&lt;sup&gt;2&lt;/sup&gt;", "plainTextFormattedCitation" : "1,2", "previouslyFormattedCitation" : "&lt;sup&gt;12,13&lt;/sup&gt;" }, "properties" : {  }, "schema" : "https://github.com/citation-style-language/schema/raw/master/csl-citation.json" }</w:instrText>
      </w:r>
      <w:r>
        <w:rPr>
          <w:rFonts w:ascii="Times New Roman" w:hAnsi="Times New Roman" w:cs="Times New Roman"/>
          <w:sz w:val="20"/>
          <w:szCs w:val="20"/>
          <w:lang w:val="en-GB"/>
        </w:rPr>
        <w:fldChar w:fldCharType="separate"/>
      </w:r>
      <w:r w:rsidRPr="003A6891">
        <w:rPr>
          <w:rFonts w:ascii="Times New Roman" w:hAnsi="Times New Roman" w:cs="Times New Roman"/>
          <w:noProof/>
          <w:sz w:val="20"/>
          <w:szCs w:val="20"/>
          <w:vertAlign w:val="superscript"/>
          <w:lang w:val="en-GB"/>
        </w:rPr>
        <w:t>1</w:t>
      </w:r>
      <w:r w:rsidRPr="003A6891">
        <w:rPr>
          <w:rFonts w:ascii="Times New Roman" w:hAnsi="Times New Roman" w:cs="Times New Roman"/>
          <w:noProof/>
          <w:sz w:val="20"/>
          <w:szCs w:val="20"/>
          <w:lang w:val="en-GB"/>
        </w:rPr>
        <w:t>,</w:t>
      </w:r>
      <w:r w:rsidRPr="003A6891">
        <w:rPr>
          <w:rFonts w:ascii="Times New Roman" w:hAnsi="Times New Roman" w:cs="Times New Roman"/>
          <w:noProof/>
          <w:sz w:val="20"/>
          <w:szCs w:val="20"/>
          <w:vertAlign w:val="superscript"/>
          <w:lang w:val="en-GB"/>
        </w:rPr>
        <w:t>2</w:t>
      </w:r>
      <w:r>
        <w:rPr>
          <w:rFonts w:ascii="Times New Roman" w:hAnsi="Times New Roman" w:cs="Times New Roman"/>
          <w:sz w:val="20"/>
          <w:szCs w:val="20"/>
          <w:lang w:val="en-GB"/>
        </w:rPr>
        <w:fldChar w:fldCharType="end"/>
      </w:r>
    </w:p>
    <w:p w:rsidR="003A6891" w:rsidRPr="00881355" w:rsidRDefault="003A6891" w:rsidP="003A6891">
      <w:pPr>
        <w:numPr>
          <w:ilvl w:val="0"/>
          <w:numId w:val="2"/>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Disease duration at least one year</w:t>
      </w:r>
    </w:p>
    <w:p w:rsidR="003A6891" w:rsidRPr="00881355" w:rsidRDefault="003A6891" w:rsidP="003A6891">
      <w:pPr>
        <w:numPr>
          <w:ilvl w:val="0"/>
          <w:numId w:val="2"/>
        </w:numPr>
        <w:spacing w:after="0" w:line="240" w:lineRule="auto"/>
        <w:rPr>
          <w:rFonts w:ascii="Times New Roman" w:hAnsi="Times New Roman" w:cs="Times New Roman"/>
          <w:sz w:val="20"/>
          <w:szCs w:val="20"/>
          <w:lang w:val="en-GB"/>
        </w:rPr>
      </w:pPr>
      <w:r w:rsidRPr="00881355">
        <w:rPr>
          <w:rFonts w:ascii="Times New Roman" w:eastAsia="Arial Unicode MS" w:hAnsi="Times New Roman" w:cs="Times New Roman"/>
          <w:sz w:val="20"/>
          <w:szCs w:val="20"/>
          <w:lang w:val="en-GB"/>
        </w:rPr>
        <w:t xml:space="preserve">EDSS ≤6.5 </w:t>
      </w:r>
    </w:p>
    <w:p w:rsidR="003A6891" w:rsidRPr="00881355" w:rsidRDefault="003A6891" w:rsidP="003A6891">
      <w:pPr>
        <w:numPr>
          <w:ilvl w:val="0"/>
          <w:numId w:val="2"/>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Written informed consent</w:t>
      </w:r>
    </w:p>
    <w:p w:rsidR="003A6891" w:rsidRPr="00881355" w:rsidRDefault="003A6891" w:rsidP="003A6891">
      <w:pPr>
        <w:numPr>
          <w:ilvl w:val="0"/>
          <w:numId w:val="2"/>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No other signs of significant disease judged by the investigator</w:t>
      </w:r>
    </w:p>
    <w:p w:rsidR="003A6891" w:rsidRPr="00881355" w:rsidRDefault="003A6891" w:rsidP="003A6891">
      <w:pPr>
        <w:numPr>
          <w:ilvl w:val="0"/>
          <w:numId w:val="2"/>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Eligible for randomisation to active treatment or placebo as assessed by CSF NFL levels above 380 ng/l</w:t>
      </w:r>
    </w:p>
    <w:p w:rsidR="003A6891" w:rsidRPr="00881355" w:rsidRDefault="003A6891" w:rsidP="003A6891">
      <w:pPr>
        <w:numPr>
          <w:ilvl w:val="0"/>
          <w:numId w:val="2"/>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Patients not eligible for randomisation due to low NFL concentrations in CSF at screening can be followed up after 48 weeks, and are eligible for open-label treatment if they fulfil one of the following clinical criteria of disease progression:</w:t>
      </w:r>
    </w:p>
    <w:p w:rsidR="003A6891" w:rsidRPr="00881355" w:rsidRDefault="003A6891" w:rsidP="003A6891">
      <w:pPr>
        <w:numPr>
          <w:ilvl w:val="1"/>
          <w:numId w:val="2"/>
        </w:numPr>
        <w:spacing w:after="0" w:line="240" w:lineRule="auto"/>
        <w:rPr>
          <w:rFonts w:ascii="Times New Roman" w:hAnsi="Times New Roman" w:cs="Times New Roman"/>
          <w:sz w:val="20"/>
          <w:szCs w:val="20"/>
          <w:lang w:val="en-GB"/>
        </w:rPr>
      </w:pPr>
      <w:proofErr w:type="gramStart"/>
      <w:r w:rsidRPr="00881355">
        <w:rPr>
          <w:rFonts w:ascii="Times New Roman" w:hAnsi="Times New Roman" w:cs="Times New Roman"/>
          <w:sz w:val="20"/>
          <w:szCs w:val="20"/>
          <w:lang w:val="en-GB"/>
        </w:rPr>
        <w:t>1 point</w:t>
      </w:r>
      <w:proofErr w:type="gramEnd"/>
      <w:r w:rsidRPr="00881355">
        <w:rPr>
          <w:rFonts w:ascii="Times New Roman" w:hAnsi="Times New Roman" w:cs="Times New Roman"/>
          <w:sz w:val="20"/>
          <w:szCs w:val="20"/>
          <w:lang w:val="en-GB"/>
        </w:rPr>
        <w:t xml:space="preserve"> increase in EDSS score from screening to week 48 if screening EDSS &lt;6</w:t>
      </w:r>
    </w:p>
    <w:p w:rsidR="003A6891" w:rsidRPr="00881355" w:rsidRDefault="003A6891" w:rsidP="003A6891">
      <w:pPr>
        <w:numPr>
          <w:ilvl w:val="1"/>
          <w:numId w:val="2"/>
        </w:numPr>
        <w:spacing w:after="0" w:line="240" w:lineRule="auto"/>
        <w:rPr>
          <w:rFonts w:ascii="Times New Roman" w:hAnsi="Times New Roman" w:cs="Times New Roman"/>
          <w:sz w:val="20"/>
          <w:szCs w:val="20"/>
          <w:lang w:val="en-GB"/>
        </w:rPr>
      </w:pPr>
      <w:proofErr w:type="gramStart"/>
      <w:r w:rsidRPr="00881355">
        <w:rPr>
          <w:rFonts w:ascii="Times New Roman" w:hAnsi="Times New Roman" w:cs="Times New Roman"/>
          <w:sz w:val="20"/>
          <w:szCs w:val="20"/>
          <w:lang w:val="en-GB"/>
        </w:rPr>
        <w:t>0.5 point</w:t>
      </w:r>
      <w:proofErr w:type="gramEnd"/>
      <w:r w:rsidRPr="00881355">
        <w:rPr>
          <w:rFonts w:ascii="Times New Roman" w:hAnsi="Times New Roman" w:cs="Times New Roman"/>
          <w:sz w:val="20"/>
          <w:szCs w:val="20"/>
          <w:lang w:val="en-GB"/>
        </w:rPr>
        <w:t xml:space="preserve"> increase in EDSS score from screening to week 48 if screening EDSS&gt;5.5</w:t>
      </w:r>
    </w:p>
    <w:p w:rsidR="003A6891" w:rsidRPr="00881355" w:rsidRDefault="003A6891" w:rsidP="003A6891">
      <w:pPr>
        <w:numPr>
          <w:ilvl w:val="1"/>
          <w:numId w:val="2"/>
        </w:numPr>
        <w:spacing w:after="0" w:line="240" w:lineRule="auto"/>
        <w:rPr>
          <w:rFonts w:ascii="Times New Roman" w:hAnsi="Times New Roman" w:cs="Times New Roman"/>
          <w:sz w:val="20"/>
          <w:szCs w:val="20"/>
          <w:lang w:val="en-GB"/>
        </w:rPr>
      </w:pPr>
      <w:proofErr w:type="gramStart"/>
      <w:r w:rsidRPr="00881355">
        <w:rPr>
          <w:rFonts w:ascii="Times New Roman" w:hAnsi="Times New Roman" w:cs="Times New Roman"/>
          <w:sz w:val="20"/>
          <w:szCs w:val="20"/>
          <w:lang w:val="en-GB"/>
        </w:rPr>
        <w:t>2 point</w:t>
      </w:r>
      <w:proofErr w:type="gramEnd"/>
      <w:r w:rsidRPr="00881355">
        <w:rPr>
          <w:rFonts w:ascii="Times New Roman" w:hAnsi="Times New Roman" w:cs="Times New Roman"/>
          <w:sz w:val="20"/>
          <w:szCs w:val="20"/>
          <w:lang w:val="en-GB"/>
        </w:rPr>
        <w:t xml:space="preserve"> increase in a physical functional system</w:t>
      </w:r>
    </w:p>
    <w:p w:rsidR="003A6891" w:rsidRDefault="003A6891" w:rsidP="003A6891">
      <w:pPr>
        <w:numPr>
          <w:ilvl w:val="1"/>
          <w:numId w:val="2"/>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Worsening in SDMT, 9HPT or T25FW &gt;20% from screening to week 48</w:t>
      </w:r>
    </w:p>
    <w:p w:rsidR="003A6891" w:rsidRDefault="003A6891" w:rsidP="003A6891">
      <w:pPr>
        <w:spacing w:after="0" w:line="240" w:lineRule="auto"/>
        <w:ind w:left="2160"/>
        <w:rPr>
          <w:rFonts w:ascii="Times New Roman" w:hAnsi="Times New Roman" w:cs="Times New Roman"/>
          <w:sz w:val="20"/>
          <w:szCs w:val="20"/>
          <w:lang w:val="en-GB"/>
        </w:rPr>
      </w:pPr>
    </w:p>
    <w:p w:rsidR="003A6891" w:rsidRPr="00881355" w:rsidRDefault="003A6891" w:rsidP="003A6891">
      <w:pPr>
        <w:spacing w:after="0" w:line="240" w:lineRule="auto"/>
        <w:ind w:left="2160"/>
        <w:rPr>
          <w:rFonts w:ascii="Times New Roman" w:hAnsi="Times New Roman" w:cs="Times New Roman"/>
          <w:sz w:val="20"/>
          <w:szCs w:val="20"/>
          <w:lang w:val="en-GB"/>
        </w:rPr>
      </w:pPr>
    </w:p>
    <w:p w:rsidR="003A6891" w:rsidRPr="00607274" w:rsidRDefault="003A6891" w:rsidP="003A6891">
      <w:pPr>
        <w:rPr>
          <w:rFonts w:ascii="Times New Roman" w:hAnsi="Times New Roman" w:cs="Times New Roman"/>
          <w:b/>
          <w:bCs/>
          <w:sz w:val="20"/>
          <w:szCs w:val="20"/>
          <w:lang w:val="en-GB"/>
        </w:rPr>
      </w:pPr>
      <w:bookmarkStart w:id="2" w:name="_p17qc8stpal" w:colFirst="0" w:colLast="0"/>
      <w:bookmarkStart w:id="3" w:name="_Toc42601660"/>
      <w:bookmarkEnd w:id="2"/>
      <w:r w:rsidRPr="00607274">
        <w:rPr>
          <w:rFonts w:ascii="Times New Roman" w:hAnsi="Times New Roman" w:cs="Times New Roman"/>
          <w:b/>
          <w:bCs/>
          <w:sz w:val="20"/>
          <w:szCs w:val="20"/>
          <w:lang w:val="en-GB"/>
        </w:rPr>
        <w:t>Exclusion criteria</w:t>
      </w:r>
      <w:bookmarkEnd w:id="3"/>
    </w:p>
    <w:p w:rsidR="003A6891" w:rsidRPr="00881355" w:rsidRDefault="003A6891" w:rsidP="003A6891">
      <w:pPr>
        <w:numPr>
          <w:ilvl w:val="0"/>
          <w:numId w:val="1"/>
        </w:numPr>
        <w:spacing w:before="120"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Pregnancy or breastfeeding</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Lack of effective contraception for women of childbearing potential</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Relapse within 6 months of inclusion</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Methylprednisolone treatment within 3 months of inclusion</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Treatment with interferon-beta, glatiramer acetate, immunoglobulin G or other immunomodulatory treatment within 6 months of inclusion</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Treatment with mitoxantrone, cyclophosphamide, azathioprine or other immunosuppressive treatment within 6 months of inclusion</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 xml:space="preserve">Findings on the screening </w:t>
      </w:r>
      <w:r w:rsidR="00DC73F9">
        <w:rPr>
          <w:rFonts w:ascii="Times New Roman" w:hAnsi="Times New Roman" w:cs="Times New Roman"/>
          <w:sz w:val="20"/>
          <w:szCs w:val="20"/>
          <w:lang w:val="en-GB"/>
        </w:rPr>
        <w:t>magnetic resonance imaging (</w:t>
      </w:r>
      <w:r w:rsidRPr="00881355">
        <w:rPr>
          <w:rFonts w:ascii="Times New Roman" w:hAnsi="Times New Roman" w:cs="Times New Roman"/>
          <w:sz w:val="20"/>
          <w:szCs w:val="20"/>
          <w:lang w:val="en-GB"/>
        </w:rPr>
        <w:t>MRI</w:t>
      </w:r>
      <w:r w:rsidR="00DC73F9">
        <w:rPr>
          <w:rFonts w:ascii="Times New Roman" w:hAnsi="Times New Roman" w:cs="Times New Roman"/>
          <w:sz w:val="20"/>
          <w:szCs w:val="20"/>
          <w:lang w:val="en-GB"/>
        </w:rPr>
        <w:t>)</w:t>
      </w:r>
      <w:r w:rsidRPr="00881355">
        <w:rPr>
          <w:rFonts w:ascii="Times New Roman" w:hAnsi="Times New Roman" w:cs="Times New Roman"/>
          <w:sz w:val="20"/>
          <w:szCs w:val="20"/>
          <w:lang w:val="en-GB"/>
        </w:rPr>
        <w:t xml:space="preserve"> judged to preclude participation by the treating physician</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Other diseases associated with immunodeficiency</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Other diseases judged to be relevant by the treating physician</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Anticoagulant therapy other than platelet inhibitors</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Active malignant disease in the previous 5 years</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Renal insufficiency or blood creatinine &gt; 150 μmol/l</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Present or chronic infection with hepatitis B virus, hepatitis C virus, HIV (tested in the screening blood samples) or other infections found to be relevant by the treating physician</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Psychiatric disorders or other disorders impairing the patient’s ability to participate in the trial</w:t>
      </w:r>
    </w:p>
    <w:p w:rsidR="003A6891" w:rsidRPr="00881355"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Contraindication to MRI</w:t>
      </w:r>
    </w:p>
    <w:p w:rsidR="003A6891" w:rsidRDefault="003A6891" w:rsidP="003A6891">
      <w:pPr>
        <w:numPr>
          <w:ilvl w:val="0"/>
          <w:numId w:val="1"/>
        </w:numPr>
        <w:spacing w:after="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Known allergy or hypersensitivity to dimethyl fumarate</w:t>
      </w:r>
    </w:p>
    <w:p w:rsidR="004A67BF" w:rsidRDefault="004A67BF" w:rsidP="004A67BF">
      <w:pPr>
        <w:spacing w:after="0" w:line="240" w:lineRule="auto"/>
        <w:ind w:left="1440"/>
        <w:rPr>
          <w:rFonts w:ascii="Times New Roman" w:hAnsi="Times New Roman" w:cs="Times New Roman"/>
          <w:sz w:val="20"/>
          <w:szCs w:val="20"/>
          <w:lang w:val="en-GB"/>
        </w:rPr>
      </w:pPr>
    </w:p>
    <w:p w:rsidR="004A67BF" w:rsidRDefault="004A67BF">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4A67BF" w:rsidRPr="007716F4" w:rsidRDefault="004A67BF" w:rsidP="004A67BF">
      <w:pPr>
        <w:rPr>
          <w:rFonts w:ascii="Times New Roman" w:hAnsi="Times New Roman" w:cs="Times New Roman"/>
          <w:sz w:val="34"/>
          <w:szCs w:val="34"/>
          <w:lang w:val="en-GB"/>
        </w:rPr>
      </w:pPr>
      <w:r w:rsidRPr="00546DEB">
        <w:rPr>
          <w:rFonts w:ascii="Times New Roman" w:hAnsi="Times New Roman" w:cs="Times New Roman"/>
          <w:b/>
          <w:bCs/>
          <w:sz w:val="24"/>
          <w:szCs w:val="24"/>
          <w:lang w:val="en-GB"/>
        </w:rPr>
        <w:lastRenderedPageBreak/>
        <w:t>Primary, secondary and tertiary endpoints</w:t>
      </w:r>
    </w:p>
    <w:p w:rsidR="004A67BF" w:rsidRPr="00546DEB" w:rsidRDefault="004A67BF" w:rsidP="004A67BF">
      <w:pPr>
        <w:rPr>
          <w:rFonts w:ascii="Times New Roman" w:hAnsi="Times New Roman" w:cs="Times New Roman"/>
          <w:b/>
          <w:bCs/>
          <w:sz w:val="20"/>
          <w:szCs w:val="20"/>
          <w:lang w:val="en-GB"/>
        </w:rPr>
      </w:pPr>
      <w:bookmarkStart w:id="4" w:name="_Toc458590823"/>
      <w:bookmarkStart w:id="5" w:name="_Toc31115771"/>
      <w:r w:rsidRPr="00546DEB">
        <w:rPr>
          <w:rFonts w:ascii="Times New Roman" w:hAnsi="Times New Roman" w:cs="Times New Roman"/>
          <w:b/>
          <w:bCs/>
          <w:sz w:val="20"/>
          <w:szCs w:val="20"/>
          <w:lang w:val="en-GB"/>
        </w:rPr>
        <w:t xml:space="preserve">Primary </w:t>
      </w:r>
      <w:bookmarkEnd w:id="4"/>
      <w:bookmarkEnd w:id="5"/>
      <w:r w:rsidRPr="00546DEB">
        <w:rPr>
          <w:rFonts w:ascii="Times New Roman" w:hAnsi="Times New Roman" w:cs="Times New Roman"/>
          <w:b/>
          <w:bCs/>
          <w:sz w:val="20"/>
          <w:szCs w:val="20"/>
          <w:lang w:val="en-GB"/>
        </w:rPr>
        <w:t>endpoint</w:t>
      </w:r>
    </w:p>
    <w:p w:rsidR="004A67BF" w:rsidRDefault="004A67BF" w:rsidP="004A67BF">
      <w:pPr>
        <w:numPr>
          <w:ilvl w:val="0"/>
          <w:numId w:val="3"/>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Difference in change in the CSF concentration of NFL from screening to week 48 in PPMS patients treated with dimethyl fumarate or placebo</w:t>
      </w:r>
      <w:bookmarkStart w:id="6" w:name="_Toc248822854"/>
      <w:bookmarkStart w:id="7" w:name="_Toc458590824"/>
      <w:bookmarkStart w:id="8" w:name="_Toc31115772"/>
    </w:p>
    <w:p w:rsidR="004A67BF" w:rsidRPr="00881355" w:rsidRDefault="004A67BF" w:rsidP="004A67BF">
      <w:pPr>
        <w:spacing w:before="120" w:line="240" w:lineRule="auto"/>
        <w:ind w:left="1664"/>
        <w:rPr>
          <w:rFonts w:ascii="Times New Roman" w:hAnsi="Times New Roman" w:cs="Times New Roman"/>
          <w:bCs/>
          <w:sz w:val="20"/>
          <w:szCs w:val="20"/>
          <w:lang w:val="en-GB"/>
        </w:rPr>
      </w:pPr>
    </w:p>
    <w:p w:rsidR="004A67BF" w:rsidRPr="00A865CC" w:rsidRDefault="004A67BF" w:rsidP="004A67BF">
      <w:pPr>
        <w:rPr>
          <w:rFonts w:ascii="Times New Roman" w:hAnsi="Times New Roman" w:cs="Times New Roman"/>
          <w:b/>
          <w:bCs/>
          <w:sz w:val="20"/>
          <w:szCs w:val="20"/>
          <w:lang w:val="en-GB"/>
        </w:rPr>
      </w:pPr>
      <w:r w:rsidRPr="00A865CC">
        <w:rPr>
          <w:rFonts w:ascii="Times New Roman" w:hAnsi="Times New Roman" w:cs="Times New Roman"/>
          <w:b/>
          <w:bCs/>
          <w:sz w:val="20"/>
          <w:szCs w:val="20"/>
          <w:lang w:val="en-GB"/>
        </w:rPr>
        <w:t>Se</w:t>
      </w:r>
      <w:bookmarkEnd w:id="6"/>
      <w:r w:rsidRPr="00A865CC">
        <w:rPr>
          <w:rFonts w:ascii="Times New Roman" w:hAnsi="Times New Roman" w:cs="Times New Roman"/>
          <w:b/>
          <w:bCs/>
          <w:sz w:val="20"/>
          <w:szCs w:val="20"/>
          <w:lang w:val="en-GB"/>
        </w:rPr>
        <w:t xml:space="preserve">condary </w:t>
      </w:r>
      <w:bookmarkEnd w:id="7"/>
      <w:bookmarkEnd w:id="8"/>
      <w:r w:rsidRPr="00A865CC">
        <w:rPr>
          <w:rFonts w:ascii="Times New Roman" w:hAnsi="Times New Roman" w:cs="Times New Roman"/>
          <w:b/>
          <w:bCs/>
          <w:sz w:val="20"/>
          <w:szCs w:val="20"/>
          <w:lang w:val="en-GB"/>
        </w:rPr>
        <w:t>endpoints</w:t>
      </w:r>
    </w:p>
    <w:p w:rsidR="004A67BF" w:rsidRPr="00881355" w:rsidRDefault="004A67BF" w:rsidP="004A67BF">
      <w:pPr>
        <w:pStyle w:val="Listeafsnit"/>
        <w:numPr>
          <w:ilvl w:val="0"/>
          <w:numId w:val="5"/>
        </w:numPr>
        <w:spacing w:line="240" w:lineRule="auto"/>
        <w:rPr>
          <w:rFonts w:ascii="Times New Roman" w:hAnsi="Times New Roman" w:cs="Times New Roman"/>
          <w:bCs/>
          <w:sz w:val="20"/>
          <w:szCs w:val="20"/>
          <w:lang w:val="en-GB"/>
        </w:rPr>
      </w:pPr>
      <w:bookmarkStart w:id="9" w:name="_Hlk24533179"/>
      <w:bookmarkStart w:id="10" w:name="_Hlk24533202"/>
      <w:bookmarkStart w:id="11" w:name="_Hlk24533115"/>
      <w:r w:rsidRPr="00881355">
        <w:rPr>
          <w:rFonts w:ascii="Times New Roman" w:hAnsi="Times New Roman" w:cs="Times New Roman"/>
          <w:bCs/>
          <w:sz w:val="20"/>
          <w:szCs w:val="20"/>
          <w:lang w:val="en-GB"/>
        </w:rPr>
        <w:t>CSF endpoints: comparison of change from screening to week 48 in patients treated with dimethyl fumarate and placebo for the following variables:</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Concentrations of: MBP, sCD27, sBCMA</w:t>
      </w:r>
      <w:r w:rsidRPr="00881355">
        <w:rPr>
          <w:rFonts w:ascii="Times New Roman" w:hAnsi="Times New Roman" w:cs="Times New Roman"/>
          <w:sz w:val="20"/>
          <w:szCs w:val="20"/>
          <w:lang w:val="en-GB" w:eastAsia="de-DE"/>
        </w:rPr>
        <w:t>, CHI3L1</w:t>
      </w:r>
      <w:r w:rsidRPr="00881355">
        <w:rPr>
          <w:rFonts w:ascii="Times New Roman" w:hAnsi="Times New Roman" w:cs="Times New Roman"/>
          <w:bCs/>
          <w:sz w:val="20"/>
          <w:szCs w:val="20"/>
          <w:lang w:val="en-GB"/>
        </w:rPr>
        <w:t xml:space="preserve"> and sCD14</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IgG-index</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CSF-serum albumin quotient</w:t>
      </w:r>
    </w:p>
    <w:p w:rsidR="004A67BF" w:rsidRPr="00881355" w:rsidRDefault="004A67BF" w:rsidP="004A67BF">
      <w:pPr>
        <w:spacing w:before="120" w:line="240" w:lineRule="auto"/>
        <w:ind w:left="3580"/>
        <w:rPr>
          <w:rFonts w:ascii="Times New Roman" w:hAnsi="Times New Roman" w:cs="Times New Roman"/>
          <w:bCs/>
          <w:sz w:val="20"/>
          <w:szCs w:val="20"/>
          <w:lang w:val="en-GB"/>
        </w:rPr>
      </w:pPr>
    </w:p>
    <w:p w:rsidR="004A67BF" w:rsidRPr="00881355" w:rsidRDefault="004A67BF" w:rsidP="004A67BF">
      <w:pPr>
        <w:pStyle w:val="Listeafsnit"/>
        <w:numPr>
          <w:ilvl w:val="0"/>
          <w:numId w:val="5"/>
        </w:numPr>
        <w:spacing w:before="12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MRI endpoints: comparison of change from screening to week 48 in patients treated with dimethyl fumarate and placebo for the following variables:</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Number of new or enlarged T2 lesions</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 xml:space="preserve">Fractional anisotropy (FA) in </w:t>
      </w:r>
      <w:r w:rsidR="00DC73F9">
        <w:rPr>
          <w:rFonts w:ascii="Times New Roman" w:hAnsi="Times New Roman" w:cs="Times New Roman"/>
          <w:bCs/>
          <w:sz w:val="20"/>
          <w:szCs w:val="20"/>
          <w:lang w:val="en-GB"/>
        </w:rPr>
        <w:t>n</w:t>
      </w:r>
      <w:r w:rsidR="00DC73F9" w:rsidRPr="00881355">
        <w:rPr>
          <w:rFonts w:ascii="Times New Roman" w:hAnsi="Times New Roman" w:cs="Times New Roman"/>
          <w:bCs/>
          <w:sz w:val="20"/>
          <w:szCs w:val="20"/>
          <w:lang w:val="en-GB"/>
        </w:rPr>
        <w:t xml:space="preserve">ormal </w:t>
      </w:r>
      <w:r w:rsidR="00DC73F9">
        <w:rPr>
          <w:rFonts w:ascii="Times New Roman" w:hAnsi="Times New Roman" w:cs="Times New Roman"/>
          <w:bCs/>
          <w:sz w:val="20"/>
          <w:szCs w:val="20"/>
          <w:lang w:val="en-GB"/>
        </w:rPr>
        <w:t>a</w:t>
      </w:r>
      <w:r w:rsidR="00DC73F9" w:rsidRPr="00881355">
        <w:rPr>
          <w:rFonts w:ascii="Times New Roman" w:hAnsi="Times New Roman" w:cs="Times New Roman"/>
          <w:bCs/>
          <w:sz w:val="20"/>
          <w:szCs w:val="20"/>
          <w:lang w:val="en-GB"/>
        </w:rPr>
        <w:t xml:space="preserve">ppearing </w:t>
      </w:r>
      <w:r w:rsidR="00DC73F9">
        <w:rPr>
          <w:rFonts w:ascii="Times New Roman" w:hAnsi="Times New Roman" w:cs="Times New Roman"/>
          <w:bCs/>
          <w:sz w:val="20"/>
          <w:szCs w:val="20"/>
          <w:lang w:val="en-GB"/>
        </w:rPr>
        <w:t>w</w:t>
      </w:r>
      <w:r w:rsidR="00DC73F9" w:rsidRPr="00881355">
        <w:rPr>
          <w:rFonts w:ascii="Times New Roman" w:hAnsi="Times New Roman" w:cs="Times New Roman"/>
          <w:bCs/>
          <w:sz w:val="20"/>
          <w:szCs w:val="20"/>
          <w:lang w:val="en-GB"/>
        </w:rPr>
        <w:t xml:space="preserve">hite </w:t>
      </w:r>
      <w:r w:rsidR="00DC73F9">
        <w:rPr>
          <w:rFonts w:ascii="Times New Roman" w:hAnsi="Times New Roman" w:cs="Times New Roman"/>
          <w:bCs/>
          <w:sz w:val="20"/>
          <w:szCs w:val="20"/>
          <w:lang w:val="en-GB"/>
        </w:rPr>
        <w:t>m</w:t>
      </w:r>
      <w:r w:rsidR="00DC73F9" w:rsidRPr="00881355">
        <w:rPr>
          <w:rFonts w:ascii="Times New Roman" w:hAnsi="Times New Roman" w:cs="Times New Roman"/>
          <w:bCs/>
          <w:sz w:val="20"/>
          <w:szCs w:val="20"/>
          <w:lang w:val="en-GB"/>
        </w:rPr>
        <w:t xml:space="preserve">atter </w:t>
      </w:r>
      <w:r w:rsidRPr="00881355">
        <w:rPr>
          <w:rFonts w:ascii="Times New Roman" w:hAnsi="Times New Roman" w:cs="Times New Roman"/>
          <w:bCs/>
          <w:sz w:val="20"/>
          <w:szCs w:val="20"/>
          <w:lang w:val="en-GB"/>
        </w:rPr>
        <w:t>(NAWM)</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Lesion volume</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Magnetization Transfer Ratio (MTR) in lesions</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Thalamic volume</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Percentage brain volume change (PBVC)</w:t>
      </w:r>
    </w:p>
    <w:p w:rsidR="004A67BF" w:rsidRPr="00881355" w:rsidRDefault="004A67BF" w:rsidP="004A67BF">
      <w:pPr>
        <w:spacing w:before="120" w:line="240" w:lineRule="auto"/>
        <w:rPr>
          <w:rFonts w:ascii="Times New Roman" w:hAnsi="Times New Roman" w:cs="Times New Roman"/>
          <w:bCs/>
          <w:sz w:val="20"/>
          <w:szCs w:val="20"/>
          <w:lang w:val="en-GB"/>
        </w:rPr>
      </w:pPr>
    </w:p>
    <w:p w:rsidR="004A67BF" w:rsidRPr="00881355" w:rsidRDefault="004A67BF" w:rsidP="004A67BF">
      <w:pPr>
        <w:numPr>
          <w:ilvl w:val="0"/>
          <w:numId w:val="3"/>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Clinical endpoints: comparison of change from screening to week 48 in patients treated with dimethyl fumarate and placebo for the following variables:</w:t>
      </w:r>
    </w:p>
    <w:p w:rsidR="004A67BF" w:rsidRPr="00881355" w:rsidRDefault="004A67BF" w:rsidP="004A67BF">
      <w:pPr>
        <w:numPr>
          <w:ilvl w:val="4"/>
          <w:numId w:val="4"/>
        </w:numPr>
        <w:spacing w:after="0" w:line="240" w:lineRule="auto"/>
        <w:jc w:val="both"/>
        <w:rPr>
          <w:rFonts w:ascii="Times New Roman" w:hAnsi="Times New Roman" w:cs="Times New Roman"/>
          <w:bCs/>
          <w:sz w:val="20"/>
          <w:szCs w:val="20"/>
          <w:lang w:val="en-GB"/>
        </w:rPr>
      </w:pPr>
      <w:r w:rsidRPr="00881355">
        <w:rPr>
          <w:rFonts w:ascii="Times New Roman" w:hAnsi="Times New Roman" w:cs="Times New Roman"/>
          <w:bCs/>
          <w:iCs/>
          <w:sz w:val="20"/>
          <w:szCs w:val="20"/>
          <w:lang w:val="en-GB"/>
        </w:rPr>
        <w:t>Expanded Disability Status Scale</w:t>
      </w:r>
      <w:r w:rsidRPr="00881355">
        <w:rPr>
          <w:rFonts w:ascii="Times New Roman" w:hAnsi="Times New Roman" w:cs="Times New Roman"/>
          <w:bCs/>
          <w:sz w:val="20"/>
          <w:szCs w:val="20"/>
          <w:lang w:val="en-GB"/>
        </w:rPr>
        <w:t xml:space="preserve"> (EDSS)</w:t>
      </w:r>
    </w:p>
    <w:p w:rsidR="004A67BF" w:rsidRPr="00881355" w:rsidRDefault="004A67BF" w:rsidP="004A67BF">
      <w:pPr>
        <w:numPr>
          <w:ilvl w:val="4"/>
          <w:numId w:val="4"/>
        </w:numPr>
        <w:spacing w:after="0" w:line="240" w:lineRule="auto"/>
        <w:jc w:val="both"/>
        <w:rPr>
          <w:rFonts w:ascii="Times New Roman" w:hAnsi="Times New Roman" w:cs="Times New Roman"/>
          <w:bCs/>
          <w:sz w:val="20"/>
          <w:szCs w:val="20"/>
          <w:lang w:val="en-GB"/>
        </w:rPr>
      </w:pPr>
      <w:r w:rsidRPr="00881355">
        <w:rPr>
          <w:rFonts w:ascii="Times New Roman" w:hAnsi="Times New Roman" w:cs="Times New Roman"/>
          <w:bCs/>
          <w:sz w:val="20"/>
          <w:szCs w:val="20"/>
          <w:lang w:val="en-GB"/>
        </w:rPr>
        <w:t>T</w:t>
      </w:r>
      <w:r w:rsidRPr="00881355">
        <w:rPr>
          <w:rFonts w:ascii="Times New Roman" w:hAnsi="Times New Roman" w:cs="Times New Roman"/>
          <w:sz w:val="20"/>
          <w:szCs w:val="20"/>
          <w:lang w:val="en-GB"/>
        </w:rPr>
        <w:t>imed 25-Foot Walk (T25FW)</w:t>
      </w:r>
    </w:p>
    <w:p w:rsidR="004A67BF" w:rsidRPr="00881355" w:rsidRDefault="004A67BF" w:rsidP="004A67BF">
      <w:pPr>
        <w:numPr>
          <w:ilvl w:val="4"/>
          <w:numId w:val="4"/>
        </w:numPr>
        <w:spacing w:after="0" w:line="240" w:lineRule="auto"/>
        <w:jc w:val="both"/>
        <w:rPr>
          <w:rFonts w:ascii="Times New Roman" w:hAnsi="Times New Roman" w:cs="Times New Roman"/>
          <w:bCs/>
          <w:sz w:val="20"/>
          <w:szCs w:val="20"/>
          <w:lang w:val="en-GB"/>
        </w:rPr>
      </w:pPr>
      <w:r w:rsidRPr="00881355">
        <w:rPr>
          <w:rFonts w:ascii="Times New Roman" w:hAnsi="Times New Roman" w:cs="Times New Roman"/>
          <w:sz w:val="20"/>
          <w:szCs w:val="20"/>
          <w:lang w:val="en-GB"/>
        </w:rPr>
        <w:t>Nine-Hole Peg Test (9HPT)</w:t>
      </w:r>
    </w:p>
    <w:p w:rsidR="004A67BF" w:rsidRPr="00881355" w:rsidRDefault="004A67BF" w:rsidP="004A67BF">
      <w:pPr>
        <w:numPr>
          <w:ilvl w:val="4"/>
          <w:numId w:val="4"/>
        </w:numPr>
        <w:spacing w:after="0" w:line="240" w:lineRule="auto"/>
        <w:jc w:val="both"/>
        <w:rPr>
          <w:rFonts w:ascii="Times New Roman" w:hAnsi="Times New Roman" w:cs="Times New Roman"/>
          <w:bCs/>
          <w:sz w:val="20"/>
          <w:szCs w:val="20"/>
          <w:lang w:val="en-GB"/>
        </w:rPr>
      </w:pPr>
      <w:r w:rsidRPr="00881355">
        <w:rPr>
          <w:rFonts w:ascii="Times New Roman" w:hAnsi="Times New Roman" w:cs="Times New Roman"/>
          <w:sz w:val="20"/>
          <w:szCs w:val="20"/>
          <w:lang w:val="en-GB"/>
        </w:rPr>
        <w:t>Brief International Cognitive Assessment for MS (BICAMS)</w:t>
      </w:r>
    </w:p>
    <w:p w:rsidR="004A67BF" w:rsidRPr="00881355" w:rsidRDefault="004A67BF" w:rsidP="004A67BF">
      <w:pPr>
        <w:numPr>
          <w:ilvl w:val="5"/>
          <w:numId w:val="4"/>
        </w:numPr>
        <w:spacing w:after="0" w:line="240" w:lineRule="auto"/>
        <w:jc w:val="both"/>
        <w:rPr>
          <w:rFonts w:ascii="Times New Roman" w:hAnsi="Times New Roman" w:cs="Times New Roman"/>
          <w:bCs/>
          <w:sz w:val="20"/>
          <w:szCs w:val="20"/>
          <w:lang w:val="en-GB"/>
        </w:rPr>
      </w:pPr>
      <w:r w:rsidRPr="00881355">
        <w:rPr>
          <w:rFonts w:ascii="Times New Roman" w:hAnsi="Times New Roman" w:cs="Times New Roman"/>
          <w:bCs/>
          <w:sz w:val="20"/>
          <w:szCs w:val="20"/>
          <w:lang w:val="en-GB"/>
        </w:rPr>
        <w:t>Symbol Digit Modalities Test (SDMT)</w:t>
      </w:r>
      <w:bookmarkEnd w:id="9"/>
      <w:bookmarkEnd w:id="10"/>
      <w:bookmarkEnd w:id="11"/>
    </w:p>
    <w:p w:rsidR="004A67BF" w:rsidRPr="00A865CC" w:rsidRDefault="004A67BF" w:rsidP="004A67BF">
      <w:pPr>
        <w:rPr>
          <w:rFonts w:ascii="Times New Roman" w:hAnsi="Times New Roman" w:cs="Times New Roman"/>
          <w:b/>
          <w:bCs/>
          <w:sz w:val="20"/>
          <w:szCs w:val="20"/>
          <w:lang w:val="en-GB"/>
        </w:rPr>
      </w:pPr>
      <w:r w:rsidRPr="00A865CC">
        <w:rPr>
          <w:rFonts w:ascii="Times New Roman" w:hAnsi="Times New Roman" w:cs="Times New Roman"/>
          <w:b/>
          <w:bCs/>
          <w:sz w:val="20"/>
          <w:szCs w:val="20"/>
          <w:lang w:val="en-GB"/>
        </w:rPr>
        <w:t>Tertiary endpoints</w:t>
      </w:r>
    </w:p>
    <w:p w:rsidR="004A67BF" w:rsidRPr="00881355" w:rsidRDefault="004A67BF" w:rsidP="004A67BF">
      <w:pPr>
        <w:spacing w:line="360" w:lineRule="auto"/>
        <w:ind w:left="4184"/>
        <w:rPr>
          <w:rFonts w:ascii="Times New Roman" w:hAnsi="Times New Roman" w:cs="Times New Roman"/>
          <w:bCs/>
          <w:sz w:val="20"/>
          <w:szCs w:val="20"/>
          <w:lang w:val="en-GB"/>
        </w:rPr>
      </w:pPr>
    </w:p>
    <w:p w:rsidR="004A67BF" w:rsidRPr="00881355" w:rsidRDefault="004A67BF" w:rsidP="004A67BF">
      <w:pPr>
        <w:pStyle w:val="Listeafsnit"/>
        <w:numPr>
          <w:ilvl w:val="0"/>
          <w:numId w:val="5"/>
        </w:numPr>
        <w:spacing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MRI endpoints: comparison of change from screening to week 48 in patients treated with dimethyl fumarate and placebo for the following variables:</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Number of Gd enhancing lesions</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Total number of lesions</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 xml:space="preserve">Volume of Cortical Grey Matter (CGM), NAWM and the putamen nuclei  </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Change in MTR of CGM, NAWM, the putamen and thalamic nuclei</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Change in diffusion tensor imaging (DTI) measures (FA and mean diffusivity) of CGM, NAWM (except FA in NAWM), lesions, the putamen and thalamic nuclei</w:t>
      </w:r>
    </w:p>
    <w:p w:rsidR="004A67BF" w:rsidRPr="00881355" w:rsidRDefault="004A67BF" w:rsidP="004A67BF">
      <w:pPr>
        <w:numPr>
          <w:ilvl w:val="4"/>
          <w:numId w:val="4"/>
        </w:numPr>
        <w:spacing w:before="120" w:after="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Cross sectional area at C2 level of the cervical spinal cord</w:t>
      </w:r>
    </w:p>
    <w:p w:rsidR="004A67BF" w:rsidRPr="00881355" w:rsidRDefault="004A67BF" w:rsidP="004A67BF">
      <w:pPr>
        <w:spacing w:before="120"/>
        <w:rPr>
          <w:rFonts w:ascii="Times New Roman" w:hAnsi="Times New Roman" w:cs="Times New Roman"/>
          <w:bCs/>
          <w:sz w:val="20"/>
          <w:szCs w:val="20"/>
          <w:lang w:val="en-GB"/>
        </w:rPr>
      </w:pPr>
    </w:p>
    <w:p w:rsidR="004A67BF" w:rsidRPr="00881355" w:rsidRDefault="004A67BF" w:rsidP="004A67BF">
      <w:pPr>
        <w:pStyle w:val="Brdtekst2"/>
        <w:numPr>
          <w:ilvl w:val="0"/>
          <w:numId w:val="5"/>
        </w:numPr>
        <w:jc w:val="left"/>
        <w:rPr>
          <w:rFonts w:ascii="Times New Roman" w:hAnsi="Times New Roman" w:cs="Times New Roman"/>
          <w:bCs/>
          <w:color w:val="auto"/>
          <w:sz w:val="20"/>
        </w:rPr>
      </w:pPr>
      <w:r w:rsidRPr="00881355">
        <w:rPr>
          <w:rFonts w:ascii="Times New Roman" w:hAnsi="Times New Roman" w:cs="Times New Roman"/>
          <w:bCs/>
          <w:sz w:val="20"/>
        </w:rPr>
        <w:lastRenderedPageBreak/>
        <w:t>Clinical endpoints: comparison of change from screening to week 48 in patients treated with dimethyl fumarate and placebo for the following variables:</w:t>
      </w:r>
    </w:p>
    <w:p w:rsidR="004A67BF" w:rsidRPr="00881355" w:rsidRDefault="004A67BF" w:rsidP="004A67BF">
      <w:pPr>
        <w:numPr>
          <w:ilvl w:val="3"/>
          <w:numId w:val="5"/>
        </w:numPr>
        <w:spacing w:after="0" w:line="240" w:lineRule="auto"/>
        <w:rPr>
          <w:rFonts w:ascii="Times New Roman" w:hAnsi="Times New Roman" w:cs="Times New Roman"/>
          <w:bCs/>
          <w:sz w:val="20"/>
          <w:szCs w:val="20"/>
          <w:lang w:val="en-GB"/>
        </w:rPr>
      </w:pPr>
      <w:r w:rsidRPr="00881355">
        <w:rPr>
          <w:rFonts w:ascii="Times New Roman" w:hAnsi="Times New Roman" w:cs="Times New Roman"/>
          <w:sz w:val="20"/>
          <w:szCs w:val="20"/>
          <w:lang w:val="en-GB"/>
        </w:rPr>
        <w:t>Brief International Cognitive Assessment for MS (BICAMS)</w:t>
      </w:r>
    </w:p>
    <w:p w:rsidR="004A67BF" w:rsidRPr="00881355" w:rsidRDefault="004A67BF" w:rsidP="004A67BF">
      <w:pPr>
        <w:numPr>
          <w:ilvl w:val="2"/>
          <w:numId w:val="5"/>
        </w:numPr>
        <w:spacing w:after="0" w:line="240" w:lineRule="auto"/>
        <w:ind w:left="4184"/>
        <w:rPr>
          <w:rFonts w:ascii="Times New Roman" w:hAnsi="Times New Roman" w:cs="Times New Roman"/>
          <w:bCs/>
          <w:sz w:val="20"/>
          <w:szCs w:val="20"/>
          <w:lang w:val="en-GB"/>
        </w:rPr>
      </w:pPr>
      <w:r w:rsidRPr="00881355">
        <w:rPr>
          <w:rFonts w:ascii="Times New Roman" w:hAnsi="Times New Roman" w:cs="Times New Roman"/>
          <w:bCs/>
          <w:sz w:val="20"/>
          <w:szCs w:val="20"/>
          <w:lang w:val="en-GB"/>
        </w:rPr>
        <w:t>Brief Visuospatial Memory Test Revised (BVMT-R)</w:t>
      </w:r>
    </w:p>
    <w:p w:rsidR="004A67BF" w:rsidRPr="00881355" w:rsidRDefault="004A67BF" w:rsidP="004A67BF">
      <w:pPr>
        <w:numPr>
          <w:ilvl w:val="2"/>
          <w:numId w:val="5"/>
        </w:numPr>
        <w:spacing w:after="0" w:line="240" w:lineRule="auto"/>
        <w:ind w:left="4184"/>
        <w:rPr>
          <w:rFonts w:ascii="Times New Roman" w:hAnsi="Times New Roman" w:cs="Times New Roman"/>
          <w:bCs/>
          <w:sz w:val="20"/>
          <w:szCs w:val="20"/>
          <w:lang w:val="en-GB"/>
        </w:rPr>
      </w:pPr>
      <w:r w:rsidRPr="00881355">
        <w:rPr>
          <w:rFonts w:ascii="Times New Roman" w:hAnsi="Times New Roman" w:cs="Times New Roman"/>
          <w:bCs/>
          <w:sz w:val="20"/>
          <w:szCs w:val="20"/>
          <w:lang w:val="en-GB"/>
        </w:rPr>
        <w:t>California Verbal Learning Test 2 (CVLT-II)</w:t>
      </w:r>
    </w:p>
    <w:p w:rsidR="004A67BF" w:rsidRPr="00881355" w:rsidRDefault="004A67BF" w:rsidP="004A67BF">
      <w:pPr>
        <w:spacing w:before="120" w:line="240" w:lineRule="auto"/>
        <w:ind w:left="3580"/>
        <w:rPr>
          <w:rFonts w:ascii="Times New Roman" w:hAnsi="Times New Roman" w:cs="Times New Roman"/>
          <w:bCs/>
          <w:sz w:val="20"/>
          <w:szCs w:val="20"/>
          <w:lang w:val="en-GB"/>
        </w:rPr>
      </w:pPr>
    </w:p>
    <w:p w:rsidR="004A67BF" w:rsidRPr="00881355" w:rsidRDefault="004A67BF" w:rsidP="004A67BF">
      <w:pPr>
        <w:pStyle w:val="Listeafsnit"/>
        <w:numPr>
          <w:ilvl w:val="0"/>
          <w:numId w:val="6"/>
        </w:numPr>
        <w:spacing w:before="120" w:line="240" w:lineRule="auto"/>
        <w:rPr>
          <w:rFonts w:ascii="Times New Roman" w:hAnsi="Times New Roman" w:cs="Times New Roman"/>
          <w:bCs/>
          <w:sz w:val="20"/>
          <w:szCs w:val="20"/>
          <w:lang w:val="en-GB"/>
        </w:rPr>
      </w:pPr>
      <w:r w:rsidRPr="00881355">
        <w:rPr>
          <w:rFonts w:ascii="Times New Roman" w:hAnsi="Times New Roman" w:cs="Times New Roman"/>
          <w:bCs/>
          <w:sz w:val="20"/>
          <w:szCs w:val="20"/>
          <w:lang w:val="en-GB"/>
        </w:rPr>
        <w:t>Self-reported outcome measures: comparison of change from screening to week 48 in patients treated with dimethyl fumarate and placebo for the following variables:</w:t>
      </w:r>
    </w:p>
    <w:p w:rsidR="004A67BF" w:rsidRPr="00881355" w:rsidRDefault="004A67BF" w:rsidP="004A67BF">
      <w:pPr>
        <w:pStyle w:val="Style1"/>
        <w:numPr>
          <w:ilvl w:val="4"/>
          <w:numId w:val="4"/>
        </w:numPr>
        <w:rPr>
          <w:rFonts w:ascii="Times New Roman" w:hAnsi="Times New Roman" w:cs="Times New Roman"/>
          <w:sz w:val="20"/>
          <w:lang w:val="en-GB"/>
        </w:rPr>
      </w:pPr>
      <w:r w:rsidRPr="00881355">
        <w:rPr>
          <w:rFonts w:ascii="Times New Roman" w:hAnsi="Times New Roman" w:cs="Times New Roman"/>
          <w:sz w:val="20"/>
          <w:lang w:val="en-GB"/>
        </w:rPr>
        <w:t xml:space="preserve">Urinary Distress Inventory (UDI) </w:t>
      </w:r>
    </w:p>
    <w:p w:rsidR="004A67BF" w:rsidRPr="00881355" w:rsidRDefault="004A67BF" w:rsidP="004A67BF">
      <w:pPr>
        <w:pStyle w:val="Style1"/>
        <w:numPr>
          <w:ilvl w:val="4"/>
          <w:numId w:val="4"/>
        </w:numPr>
        <w:rPr>
          <w:rFonts w:ascii="Times New Roman" w:hAnsi="Times New Roman" w:cs="Times New Roman"/>
          <w:sz w:val="20"/>
          <w:lang w:val="en-GB"/>
        </w:rPr>
      </w:pPr>
      <w:r w:rsidRPr="00881355">
        <w:rPr>
          <w:rFonts w:ascii="Times New Roman" w:hAnsi="Times New Roman" w:cs="Times New Roman"/>
          <w:bCs/>
          <w:sz w:val="20"/>
          <w:lang w:val="en-GB"/>
        </w:rPr>
        <w:t>Fatigue Scale for Motor and Cognitive Functions (FSMC)</w:t>
      </w:r>
    </w:p>
    <w:p w:rsidR="004A67BF" w:rsidRPr="00A865CC" w:rsidRDefault="004A67BF" w:rsidP="004A67BF">
      <w:pPr>
        <w:numPr>
          <w:ilvl w:val="4"/>
          <w:numId w:val="4"/>
        </w:numPr>
        <w:spacing w:after="0" w:line="240" w:lineRule="auto"/>
        <w:rPr>
          <w:rFonts w:ascii="Times New Roman" w:hAnsi="Times New Roman" w:cs="Times New Roman"/>
          <w:sz w:val="20"/>
          <w:szCs w:val="20"/>
          <w:lang w:val="en-GB"/>
        </w:rPr>
      </w:pPr>
      <w:r w:rsidRPr="00881355">
        <w:rPr>
          <w:rFonts w:ascii="Times New Roman" w:hAnsi="Times New Roman" w:cs="Times New Roman"/>
          <w:bCs/>
          <w:sz w:val="20"/>
          <w:szCs w:val="20"/>
          <w:lang w:val="en-GB"/>
        </w:rPr>
        <w:t>Multiple Sclerosis Impact Scale 29 (MSIS-29)</w:t>
      </w:r>
    </w:p>
    <w:p w:rsidR="004A67BF" w:rsidRPr="00881355" w:rsidRDefault="004A67BF" w:rsidP="004A67BF">
      <w:pPr>
        <w:spacing w:line="240" w:lineRule="auto"/>
        <w:ind w:left="3580"/>
        <w:rPr>
          <w:rFonts w:ascii="Times New Roman" w:hAnsi="Times New Roman" w:cs="Times New Roman"/>
          <w:sz w:val="20"/>
          <w:szCs w:val="20"/>
          <w:lang w:val="en-GB"/>
        </w:rPr>
      </w:pPr>
      <w:bookmarkStart w:id="12" w:name="_GoBack"/>
      <w:bookmarkEnd w:id="12"/>
    </w:p>
    <w:p w:rsidR="004A67BF" w:rsidRPr="00881355" w:rsidRDefault="004A67BF" w:rsidP="004A67BF">
      <w:pPr>
        <w:spacing w:after="0" w:line="240" w:lineRule="auto"/>
        <w:ind w:left="1440"/>
        <w:rPr>
          <w:rFonts w:ascii="Times New Roman" w:hAnsi="Times New Roman" w:cs="Times New Roman"/>
          <w:sz w:val="20"/>
          <w:szCs w:val="20"/>
          <w:lang w:val="en-GB"/>
        </w:rPr>
      </w:pPr>
    </w:p>
    <w:p w:rsidR="003A6891" w:rsidRDefault="003A6891">
      <w:pPr>
        <w:rPr>
          <w:rFonts w:ascii="Times New Roman" w:hAnsi="Times New Roman" w:cs="Times New Roman"/>
          <w:b/>
          <w:bCs/>
          <w:sz w:val="28"/>
          <w:szCs w:val="28"/>
          <w:lang w:val="en-GB"/>
        </w:rPr>
      </w:pPr>
    </w:p>
    <w:p w:rsidR="003A6891" w:rsidRPr="003A6891" w:rsidRDefault="003A6891">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References </w:t>
      </w:r>
    </w:p>
    <w:p w:rsidR="003A6891" w:rsidRPr="00CC5123" w:rsidRDefault="003A6891" w:rsidP="003A6891">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3A6891">
        <w:rPr>
          <w:rFonts w:ascii="Times New Roman" w:hAnsi="Times New Roman" w:cs="Times New Roman"/>
          <w:b/>
          <w:bCs/>
          <w:sz w:val="20"/>
          <w:szCs w:val="20"/>
          <w:lang w:val="en-US"/>
        </w:rPr>
        <w:fldChar w:fldCharType="begin" w:fldLock="1"/>
      </w:r>
      <w:r w:rsidRPr="003A6891">
        <w:rPr>
          <w:rFonts w:ascii="Times New Roman" w:hAnsi="Times New Roman" w:cs="Times New Roman"/>
          <w:b/>
          <w:bCs/>
          <w:sz w:val="20"/>
          <w:szCs w:val="20"/>
          <w:lang w:val="en-US"/>
        </w:rPr>
        <w:instrText xml:space="preserve">ADDIN Mendeley Bibliography CSL_BIBLIOGRAPHY </w:instrText>
      </w:r>
      <w:r w:rsidRPr="003A6891">
        <w:rPr>
          <w:rFonts w:ascii="Times New Roman" w:hAnsi="Times New Roman" w:cs="Times New Roman"/>
          <w:b/>
          <w:bCs/>
          <w:sz w:val="20"/>
          <w:szCs w:val="20"/>
          <w:lang w:val="en-US"/>
        </w:rPr>
        <w:fldChar w:fldCharType="separate"/>
      </w:r>
      <w:r w:rsidRPr="00CC5123">
        <w:rPr>
          <w:rFonts w:ascii="Times New Roman" w:hAnsi="Times New Roman" w:cs="Times New Roman"/>
          <w:noProof/>
          <w:sz w:val="20"/>
          <w:szCs w:val="20"/>
          <w:lang w:val="en-US"/>
        </w:rPr>
        <w:t xml:space="preserve">1. </w:t>
      </w:r>
      <w:r w:rsidRPr="00CC5123">
        <w:rPr>
          <w:rFonts w:ascii="Times New Roman" w:hAnsi="Times New Roman" w:cs="Times New Roman"/>
          <w:noProof/>
          <w:sz w:val="20"/>
          <w:szCs w:val="20"/>
          <w:lang w:val="en-US"/>
        </w:rPr>
        <w:tab/>
        <w:t xml:space="preserve">Polman CH, Reingold SC, Banwell B, Clanet M, Cohen JA, Filippi M, et al. Diagnostic criteria for multiple sclerosis: 2010 Revisions to the McDonald criteria. Ann Neurol. 2011 Feb;69(2):292–302. </w:t>
      </w:r>
    </w:p>
    <w:p w:rsidR="003A6891" w:rsidRPr="003A6891" w:rsidRDefault="003A6891" w:rsidP="003A6891">
      <w:pPr>
        <w:widowControl w:val="0"/>
        <w:autoSpaceDE w:val="0"/>
        <w:autoSpaceDN w:val="0"/>
        <w:adjustRightInd w:val="0"/>
        <w:spacing w:line="240" w:lineRule="auto"/>
        <w:ind w:left="640" w:hanging="640"/>
        <w:rPr>
          <w:rFonts w:ascii="Times New Roman" w:hAnsi="Times New Roman" w:cs="Times New Roman"/>
          <w:noProof/>
          <w:sz w:val="20"/>
          <w:szCs w:val="20"/>
        </w:rPr>
      </w:pPr>
      <w:r w:rsidRPr="00CC5123">
        <w:rPr>
          <w:rFonts w:ascii="Times New Roman" w:hAnsi="Times New Roman" w:cs="Times New Roman"/>
          <w:noProof/>
          <w:sz w:val="20"/>
          <w:szCs w:val="20"/>
          <w:lang w:val="en-US"/>
        </w:rPr>
        <w:t xml:space="preserve">2. </w:t>
      </w:r>
      <w:r w:rsidRPr="00CC5123">
        <w:rPr>
          <w:rFonts w:ascii="Times New Roman" w:hAnsi="Times New Roman" w:cs="Times New Roman"/>
          <w:noProof/>
          <w:sz w:val="20"/>
          <w:szCs w:val="20"/>
          <w:lang w:val="en-US"/>
        </w:rPr>
        <w:tab/>
        <w:t xml:space="preserve">Lublin FD, Reingold SC, Cohen JA, Cutter GR, Sørensen PS, Thompson AJ, et al. Defining the clinical course of multiple sclerosis: The 2013 revisions. </w:t>
      </w:r>
      <w:r w:rsidRPr="003A6891">
        <w:rPr>
          <w:rFonts w:ascii="Times New Roman" w:hAnsi="Times New Roman" w:cs="Times New Roman"/>
          <w:noProof/>
          <w:sz w:val="20"/>
          <w:szCs w:val="20"/>
        </w:rPr>
        <w:t xml:space="preserve">Vol. 83, Neurology. 2014. p. 278–86. </w:t>
      </w:r>
    </w:p>
    <w:p w:rsidR="003A6891" w:rsidRPr="003A6891" w:rsidRDefault="003A6891">
      <w:pPr>
        <w:rPr>
          <w:rFonts w:ascii="Times New Roman" w:hAnsi="Times New Roman" w:cs="Times New Roman"/>
          <w:b/>
          <w:bCs/>
          <w:sz w:val="28"/>
          <w:szCs w:val="28"/>
          <w:lang w:val="en-US"/>
        </w:rPr>
      </w:pPr>
      <w:r w:rsidRPr="003A6891">
        <w:rPr>
          <w:rFonts w:ascii="Times New Roman" w:hAnsi="Times New Roman" w:cs="Times New Roman"/>
          <w:b/>
          <w:bCs/>
          <w:sz w:val="20"/>
          <w:szCs w:val="20"/>
          <w:lang w:val="en-US"/>
        </w:rPr>
        <w:fldChar w:fldCharType="end"/>
      </w:r>
    </w:p>
    <w:sectPr w:rsidR="003A6891" w:rsidRPr="003A68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AB0"/>
    <w:multiLevelType w:val="hybridMultilevel"/>
    <w:tmpl w:val="69486AF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8927489"/>
    <w:multiLevelType w:val="hybridMultilevel"/>
    <w:tmpl w:val="F9A6082E"/>
    <w:lvl w:ilvl="0" w:tplc="CE0C4110">
      <w:start w:val="1"/>
      <w:numFmt w:val="bullet"/>
      <w:lvlText w:val=""/>
      <w:lvlJc w:val="left"/>
      <w:pPr>
        <w:tabs>
          <w:tab w:val="num" w:pos="3005"/>
        </w:tabs>
        <w:ind w:left="3005" w:hanging="397"/>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880"/>
        </w:tabs>
        <w:ind w:left="2880" w:hanging="360"/>
      </w:pPr>
      <w:rPr>
        <w:rFonts w:ascii="Symbol" w:hAnsi="Symbol" w:hint="default"/>
      </w:rPr>
    </w:lvl>
    <w:lvl w:ilvl="4" w:tplc="CBF89B7E">
      <w:start w:val="1"/>
      <w:numFmt w:val="bullet"/>
      <w:lvlText w:val=""/>
      <w:lvlJc w:val="left"/>
      <w:pPr>
        <w:tabs>
          <w:tab w:val="num" w:pos="3600"/>
        </w:tabs>
        <w:ind w:left="3580" w:hanging="340"/>
      </w:pPr>
      <w:rPr>
        <w:rFonts w:ascii="Wingdings" w:hAnsi="Wingdings" w:hint="default"/>
        <w:lang w:val="en-GB"/>
      </w:rPr>
    </w:lvl>
    <w:lvl w:ilvl="5" w:tplc="01766806">
      <w:start w:val="1"/>
      <w:numFmt w:val="bullet"/>
      <w:lvlText w:val=""/>
      <w:lvlJc w:val="left"/>
      <w:pPr>
        <w:tabs>
          <w:tab w:val="num" w:pos="4320"/>
        </w:tabs>
        <w:ind w:left="4300" w:hanging="34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A5DDA"/>
    <w:multiLevelType w:val="multilevel"/>
    <w:tmpl w:val="6A8CD7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001EE9"/>
    <w:multiLevelType w:val="hybridMultilevel"/>
    <w:tmpl w:val="5B8A421E"/>
    <w:lvl w:ilvl="0" w:tplc="A9A48FBE">
      <w:start w:val="1"/>
      <w:numFmt w:val="bullet"/>
      <w:lvlText w:val=""/>
      <w:lvlJc w:val="left"/>
      <w:pPr>
        <w:tabs>
          <w:tab w:val="num" w:pos="1664"/>
        </w:tabs>
        <w:ind w:left="1664" w:hanging="360"/>
      </w:pPr>
      <w:rPr>
        <w:rFonts w:ascii="Symbol" w:hAnsi="Symbol" w:hint="default"/>
      </w:rPr>
    </w:lvl>
    <w:lvl w:ilvl="1" w:tplc="04060003">
      <w:start w:val="1"/>
      <w:numFmt w:val="bullet"/>
      <w:lvlText w:val="o"/>
      <w:lvlJc w:val="left"/>
      <w:pPr>
        <w:tabs>
          <w:tab w:val="num" w:pos="136"/>
        </w:tabs>
        <w:ind w:left="136" w:hanging="360"/>
      </w:pPr>
      <w:rPr>
        <w:rFonts w:ascii="Courier New" w:hAnsi="Courier New" w:hint="default"/>
      </w:rPr>
    </w:lvl>
    <w:lvl w:ilvl="2" w:tplc="04060005">
      <w:start w:val="1"/>
      <w:numFmt w:val="bullet"/>
      <w:lvlText w:val=""/>
      <w:lvlJc w:val="left"/>
      <w:pPr>
        <w:tabs>
          <w:tab w:val="num" w:pos="856"/>
        </w:tabs>
        <w:ind w:left="856" w:hanging="360"/>
      </w:pPr>
      <w:rPr>
        <w:rFonts w:ascii="Wingdings" w:hAnsi="Wingdings" w:hint="default"/>
      </w:rPr>
    </w:lvl>
    <w:lvl w:ilvl="3" w:tplc="04060001">
      <w:start w:val="1"/>
      <w:numFmt w:val="bullet"/>
      <w:lvlText w:val=""/>
      <w:lvlJc w:val="left"/>
      <w:pPr>
        <w:tabs>
          <w:tab w:val="num" w:pos="1576"/>
        </w:tabs>
        <w:ind w:left="1576" w:hanging="360"/>
      </w:pPr>
      <w:rPr>
        <w:rFonts w:ascii="Symbol" w:hAnsi="Symbol" w:hint="default"/>
      </w:rPr>
    </w:lvl>
    <w:lvl w:ilvl="4" w:tplc="04060003">
      <w:start w:val="1"/>
      <w:numFmt w:val="bullet"/>
      <w:lvlText w:val="o"/>
      <w:lvlJc w:val="left"/>
      <w:pPr>
        <w:tabs>
          <w:tab w:val="num" w:pos="2296"/>
        </w:tabs>
        <w:ind w:left="2296" w:hanging="360"/>
      </w:pPr>
      <w:rPr>
        <w:rFonts w:ascii="Courier New" w:hAnsi="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4" w15:restartNumberingAfterBreak="0">
    <w:nsid w:val="3758788E"/>
    <w:multiLevelType w:val="multilevel"/>
    <w:tmpl w:val="7F9AA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DAC3CD5"/>
    <w:multiLevelType w:val="hybridMultilevel"/>
    <w:tmpl w:val="44969AF0"/>
    <w:lvl w:ilvl="0" w:tplc="04060001">
      <w:start w:val="1"/>
      <w:numFmt w:val="bullet"/>
      <w:lvlText w:val=""/>
      <w:lvlJc w:val="left"/>
      <w:pPr>
        <w:ind w:left="1664" w:hanging="360"/>
      </w:pPr>
      <w:rPr>
        <w:rFonts w:ascii="Symbol" w:hAnsi="Symbol" w:hint="default"/>
      </w:rPr>
    </w:lvl>
    <w:lvl w:ilvl="1" w:tplc="04060001">
      <w:start w:val="1"/>
      <w:numFmt w:val="bullet"/>
      <w:lvlText w:val=""/>
      <w:lvlJc w:val="left"/>
      <w:pPr>
        <w:ind w:left="2384" w:hanging="360"/>
      </w:pPr>
      <w:rPr>
        <w:rFonts w:ascii="Symbol" w:hAnsi="Symbol" w:hint="default"/>
      </w:rPr>
    </w:lvl>
    <w:lvl w:ilvl="2" w:tplc="04060001">
      <w:start w:val="1"/>
      <w:numFmt w:val="bullet"/>
      <w:lvlText w:val=""/>
      <w:lvlJc w:val="left"/>
      <w:pPr>
        <w:ind w:left="3104" w:hanging="360"/>
      </w:pPr>
      <w:rPr>
        <w:rFonts w:ascii="Symbol" w:hAnsi="Symbol"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91"/>
    <w:rsid w:val="003A6891"/>
    <w:rsid w:val="004A67BF"/>
    <w:rsid w:val="005C12D8"/>
    <w:rsid w:val="00CC5123"/>
    <w:rsid w:val="00DC73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3D6E-A02D-4386-BA7D-F5DE7F93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689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6891"/>
    <w:rPr>
      <w:rFonts w:ascii="Segoe UI" w:hAnsi="Segoe UI" w:cs="Segoe UI"/>
      <w:sz w:val="18"/>
      <w:szCs w:val="18"/>
    </w:rPr>
  </w:style>
  <w:style w:type="paragraph" w:styleId="Brdtekst2">
    <w:name w:val="Body Text 2"/>
    <w:basedOn w:val="Normal"/>
    <w:link w:val="Brdtekst2Tegn"/>
    <w:semiHidden/>
    <w:rsid w:val="004A67BF"/>
    <w:pPr>
      <w:spacing w:after="0" w:line="240" w:lineRule="auto"/>
      <w:jc w:val="both"/>
    </w:pPr>
    <w:rPr>
      <w:rFonts w:ascii="Arial" w:eastAsia="Times New Roman" w:hAnsi="Arial" w:cs="Courier New"/>
      <w:color w:val="000000"/>
      <w:szCs w:val="20"/>
      <w:lang w:val="en-GB" w:eastAsia="de-DE"/>
    </w:rPr>
  </w:style>
  <w:style w:type="character" w:customStyle="1" w:styleId="Brdtekst2Tegn">
    <w:name w:val="Brødtekst 2 Tegn"/>
    <w:basedOn w:val="Standardskrifttypeiafsnit"/>
    <w:link w:val="Brdtekst2"/>
    <w:semiHidden/>
    <w:rsid w:val="004A67BF"/>
    <w:rPr>
      <w:rFonts w:ascii="Arial" w:eastAsia="Times New Roman" w:hAnsi="Arial" w:cs="Courier New"/>
      <w:color w:val="000000"/>
      <w:szCs w:val="20"/>
      <w:lang w:val="en-GB" w:eastAsia="de-DE"/>
    </w:rPr>
  </w:style>
  <w:style w:type="paragraph" w:customStyle="1" w:styleId="Style1">
    <w:name w:val="Style1"/>
    <w:basedOn w:val="Normal"/>
    <w:rsid w:val="004A67BF"/>
    <w:pPr>
      <w:spacing w:after="0" w:line="240" w:lineRule="auto"/>
    </w:pPr>
    <w:rPr>
      <w:rFonts w:ascii="Univers (W1)" w:eastAsia="Times New Roman" w:hAnsi="Univers (W1)" w:cs="Courier New"/>
      <w:szCs w:val="20"/>
      <w:lang w:val="en-US" w:eastAsia="de-DE"/>
    </w:rPr>
  </w:style>
  <w:style w:type="paragraph" w:styleId="Listeafsnit">
    <w:name w:val="List Paragraph"/>
    <w:basedOn w:val="Normal"/>
    <w:uiPriority w:val="34"/>
    <w:qFormat/>
    <w:rsid w:val="004A67BF"/>
    <w:pPr>
      <w:spacing w:after="0" w:line="276" w:lineRule="auto"/>
      <w:ind w:left="720"/>
      <w:contextualSpacing/>
    </w:pPr>
    <w:rPr>
      <w:rFonts w:ascii="Arial" w:eastAsia="Arial" w:hAnsi="Arial" w:cs="Arial"/>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54C9-480F-4665-B149-1DCF37A9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2123</Words>
  <Characters>12953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Højsgaard Chow</dc:creator>
  <cp:keywords/>
  <dc:description/>
  <cp:lastModifiedBy>Helene Højsgaard Chow</cp:lastModifiedBy>
  <cp:revision>4</cp:revision>
  <dcterms:created xsi:type="dcterms:W3CDTF">2021-03-17T07:44:00Z</dcterms:created>
  <dcterms:modified xsi:type="dcterms:W3CDTF">2021-04-14T07:06:00Z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4960f9c5-c526-3061-9a55-484bd38f4e8e</vt:lpwstr>
  </property>
  <property fmtid="{D5CDD505-2E9C-101B-9397-08002B2CF9AE}" pid="4" name="Mendeley Citation Style_1">
    <vt:lpwstr>http://csl.mendeley.com/styles/189139121/vancouver</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http://www.zotero.org/styles/national-library-of-medicine</vt:lpwstr>
  </property>
  <property fmtid="{D5CDD505-2E9C-101B-9397-08002B2CF9AE}" pid="14" name="Mendeley Recent Style Name 4_1">
    <vt:lpwstr>National Library of Medicine</vt:lpwstr>
  </property>
  <property fmtid="{D5CDD505-2E9C-101B-9397-08002B2CF9AE}" pid="15" name="Mendeley Recent Style Id 5_1">
    <vt:lpwstr>http://www.zotero.org/styles/neurology</vt:lpwstr>
  </property>
  <property fmtid="{D5CDD505-2E9C-101B-9397-08002B2CF9AE}" pid="16" name="Mendeley Recent Style Name 5_1">
    <vt:lpwstr>Neurology</vt:lpwstr>
  </property>
  <property fmtid="{D5CDD505-2E9C-101B-9397-08002B2CF9AE}" pid="17" name="Mendeley Recent Style Id 6_1">
    <vt:lpwstr>http://csl.mendeley.com/styles/189139121/neurology-2</vt:lpwstr>
  </property>
  <property fmtid="{D5CDD505-2E9C-101B-9397-08002B2CF9AE}" pid="18" name="Mendeley Recent Style Name 6_1">
    <vt:lpwstr>Neurology - Helene Højsgaard Chow</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https://csl.mendeley.com/styles/189139121/vancouver</vt:lpwstr>
  </property>
  <property fmtid="{D5CDD505-2E9C-101B-9397-08002B2CF9AE}" pid="22" name="Mendeley Recent Style Name 8_1">
    <vt:lpwstr>Vancouver - Helene Højsgaard Chow</vt:lpwstr>
  </property>
  <property fmtid="{D5CDD505-2E9C-101B-9397-08002B2CF9AE}" pid="23" name="Mendeley Recent Style Id 9_1">
    <vt:lpwstr>http://csl.mendeley.com/styles/189139121/vancouver</vt:lpwstr>
  </property>
  <property fmtid="{D5CDD505-2E9C-101B-9397-08002B2CF9AE}" pid="24" name="Mendeley Recent Style Name 9_1">
    <vt:lpwstr>Vancouver - Helene Højsgaard Chow</vt:lpwstr>
  </property>
</Properties>
</file>