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80" w:rsidRPr="00D55A80" w:rsidRDefault="00D55A80" w:rsidP="00CD15E8">
      <w:pPr>
        <w:spacing w:line="360" w:lineRule="auto"/>
        <w:rPr>
          <w:rFonts w:ascii="Times New Roman" w:hAnsi="Times New Roman" w:cs="Times New Roman"/>
          <w:b/>
          <w:bCs/>
          <w:sz w:val="28"/>
          <w:szCs w:val="28"/>
          <w:lang w:val="en-US"/>
        </w:rPr>
      </w:pPr>
      <w:r w:rsidRPr="00D55A80">
        <w:rPr>
          <w:rFonts w:ascii="Times New Roman" w:hAnsi="Times New Roman" w:cs="Times New Roman"/>
          <w:b/>
          <w:bCs/>
          <w:sz w:val="28"/>
          <w:szCs w:val="28"/>
          <w:lang w:val="en-US"/>
        </w:rPr>
        <w:t>Supplemental material 3</w:t>
      </w:r>
    </w:p>
    <w:p w:rsidR="00D55A80" w:rsidRPr="00D55A80" w:rsidRDefault="00D55A80" w:rsidP="00CD15E8">
      <w:pPr>
        <w:spacing w:line="360" w:lineRule="auto"/>
        <w:rPr>
          <w:rFonts w:ascii="Times New Roman" w:hAnsi="Times New Roman" w:cs="Times New Roman"/>
          <w:b/>
          <w:bCs/>
          <w:sz w:val="24"/>
          <w:szCs w:val="24"/>
          <w:lang w:val="en-US"/>
        </w:rPr>
      </w:pPr>
      <w:r w:rsidRPr="00D55A80">
        <w:rPr>
          <w:rFonts w:ascii="Times New Roman" w:hAnsi="Times New Roman" w:cs="Times New Roman"/>
          <w:b/>
          <w:bCs/>
          <w:sz w:val="24"/>
          <w:szCs w:val="24"/>
          <w:lang w:val="en-US"/>
        </w:rPr>
        <w:t>Lumbar puncture procedure and handling of cerebrospinal fluid</w:t>
      </w:r>
    </w:p>
    <w:p w:rsidR="00D55A80" w:rsidRPr="00D55A80" w:rsidRDefault="00D55A80" w:rsidP="00D55A80">
      <w:pPr>
        <w:spacing w:line="240" w:lineRule="auto"/>
        <w:rPr>
          <w:rFonts w:ascii="Times New Roman" w:hAnsi="Times New Roman" w:cs="Times New Roman"/>
          <w:sz w:val="20"/>
          <w:szCs w:val="20"/>
          <w:lang w:val="en-US"/>
        </w:rPr>
      </w:pPr>
      <w:r w:rsidRPr="00D55A80">
        <w:rPr>
          <w:rFonts w:ascii="Times New Roman" w:hAnsi="Times New Roman" w:cs="Times New Roman"/>
          <w:sz w:val="20"/>
          <w:szCs w:val="20"/>
          <w:lang w:val="en-US"/>
        </w:rPr>
        <w:t xml:space="preserve">Lumbar puncture was performed at baseline and week 48 by the trial physicians or other medical doctors using a non-traumatic needle under sterile conditions and with local </w:t>
      </w:r>
      <w:proofErr w:type="spellStart"/>
      <w:r w:rsidRPr="00D55A80">
        <w:rPr>
          <w:rFonts w:ascii="Times New Roman" w:hAnsi="Times New Roman" w:cs="Times New Roman"/>
          <w:sz w:val="20"/>
          <w:szCs w:val="20"/>
          <w:lang w:val="en-US"/>
        </w:rPr>
        <w:t>anaesthesia</w:t>
      </w:r>
      <w:proofErr w:type="spellEnd"/>
      <w:r w:rsidRPr="00D55A80">
        <w:rPr>
          <w:rFonts w:ascii="Times New Roman" w:hAnsi="Times New Roman" w:cs="Times New Roman"/>
          <w:sz w:val="20"/>
          <w:szCs w:val="20"/>
          <w:lang w:val="en-US"/>
        </w:rPr>
        <w:t xml:space="preserve">. 10 – 12 ml of cerebrospinal fluid (CSF) was extracted via a sterile polystyrene tube into a polystyrene vial on ice. Routine analysis for IgG-index and albumin quotient and cell count was performed on fresh CSF at the hospital laboratory. Immediately after the procedure, the CSF was centrifuged (4°C, 400 RPM, 5 mins), and the supernatant was immediately frozen at -80°C for later analysis. The CSF was stored in aliquots of 0.5 ml and thawed on ice before analysis of the </w:t>
      </w:r>
      <w:r w:rsidR="00AA5EE8">
        <w:rPr>
          <w:rFonts w:ascii="Times New Roman" w:hAnsi="Times New Roman" w:cs="Times New Roman"/>
          <w:sz w:val="20"/>
          <w:szCs w:val="20"/>
          <w:lang w:val="en-US"/>
        </w:rPr>
        <w:t xml:space="preserve">remaining </w:t>
      </w:r>
      <w:r w:rsidRPr="00D55A80">
        <w:rPr>
          <w:rFonts w:ascii="Times New Roman" w:hAnsi="Times New Roman" w:cs="Times New Roman"/>
          <w:sz w:val="20"/>
          <w:szCs w:val="20"/>
          <w:lang w:val="en-US"/>
        </w:rPr>
        <w:t>biomarkers.</w:t>
      </w:r>
    </w:p>
    <w:p w:rsidR="00D55A80" w:rsidRPr="00D55A80" w:rsidRDefault="00D55A80" w:rsidP="00D55A80">
      <w:pPr>
        <w:spacing w:line="240" w:lineRule="auto"/>
        <w:rPr>
          <w:rFonts w:ascii="Times New Roman" w:hAnsi="Times New Roman" w:cs="Times New Roman"/>
          <w:sz w:val="20"/>
          <w:szCs w:val="20"/>
          <w:lang w:val="en-US"/>
        </w:rPr>
      </w:pPr>
    </w:p>
    <w:p w:rsidR="00D55A80" w:rsidRPr="00D55A80" w:rsidRDefault="00D55A80" w:rsidP="00D55A80">
      <w:pPr>
        <w:rPr>
          <w:rFonts w:ascii="Times New Roman" w:hAnsi="Times New Roman" w:cs="Times New Roman"/>
          <w:b/>
          <w:bCs/>
          <w:sz w:val="24"/>
          <w:szCs w:val="24"/>
          <w:lang w:val="en-US"/>
        </w:rPr>
      </w:pPr>
      <w:r w:rsidRPr="00D55A80">
        <w:rPr>
          <w:rFonts w:ascii="Times New Roman" w:hAnsi="Times New Roman" w:cs="Times New Roman"/>
          <w:b/>
          <w:bCs/>
          <w:sz w:val="24"/>
          <w:szCs w:val="24"/>
          <w:lang w:val="en-US"/>
        </w:rPr>
        <w:t>Analyses of cerebrospinal fluid endpoints</w:t>
      </w:r>
    </w:p>
    <w:p w:rsidR="00D55A80" w:rsidRPr="00D55A80" w:rsidRDefault="00D55A80" w:rsidP="00D55A80">
      <w:pPr>
        <w:spacing w:line="240" w:lineRule="auto"/>
        <w:rPr>
          <w:rFonts w:ascii="Times New Roman" w:hAnsi="Times New Roman" w:cs="Times New Roman"/>
          <w:sz w:val="20"/>
          <w:szCs w:val="20"/>
          <w:lang w:val="en-US"/>
        </w:rPr>
      </w:pPr>
      <w:r w:rsidRPr="00D55A80">
        <w:rPr>
          <w:rFonts w:ascii="Times New Roman" w:hAnsi="Times New Roman" w:cs="Times New Roman"/>
          <w:sz w:val="20"/>
          <w:szCs w:val="20"/>
          <w:lang w:val="en-US"/>
        </w:rPr>
        <w:t xml:space="preserve">All analyses of cerebrospinal fluid endpoints were performed by experienced staff at the Research Unit, Danish Multiple Sclerosis Center, Copenhagen University Hospital </w:t>
      </w:r>
      <w:r w:rsidR="00AA5EE8">
        <w:rPr>
          <w:rFonts w:ascii="Times New Roman" w:hAnsi="Times New Roman" w:cs="Times New Roman"/>
          <w:sz w:val="20"/>
          <w:szCs w:val="20"/>
          <w:lang w:val="en-US"/>
        </w:rPr>
        <w:t xml:space="preserve">- </w:t>
      </w:r>
      <w:r w:rsidRPr="00D55A80">
        <w:rPr>
          <w:rFonts w:ascii="Times New Roman" w:hAnsi="Times New Roman" w:cs="Times New Roman"/>
          <w:sz w:val="20"/>
          <w:szCs w:val="20"/>
          <w:lang w:val="en-US"/>
        </w:rPr>
        <w:t xml:space="preserve">Rigshospitalet. </w:t>
      </w:r>
    </w:p>
    <w:p w:rsidR="00D55A80" w:rsidRPr="00D55A80" w:rsidRDefault="00D55A80" w:rsidP="00D55A80">
      <w:pPr>
        <w:spacing w:line="240" w:lineRule="auto"/>
        <w:rPr>
          <w:rFonts w:ascii="Times New Roman" w:hAnsi="Times New Roman" w:cs="Times New Roman"/>
          <w:sz w:val="20"/>
          <w:szCs w:val="20"/>
          <w:lang w:val="en-US"/>
        </w:rPr>
      </w:pPr>
    </w:p>
    <w:p w:rsidR="00D55A80" w:rsidRPr="00D55A80" w:rsidRDefault="00D55A80" w:rsidP="00D55A80">
      <w:pPr>
        <w:rPr>
          <w:rFonts w:ascii="Times New Roman" w:hAnsi="Times New Roman" w:cs="Times New Roman"/>
          <w:b/>
          <w:bCs/>
          <w:sz w:val="20"/>
          <w:szCs w:val="20"/>
          <w:lang w:val="en-US"/>
        </w:rPr>
      </w:pPr>
      <w:r w:rsidRPr="00D55A80">
        <w:rPr>
          <w:rFonts w:ascii="Times New Roman" w:hAnsi="Times New Roman" w:cs="Times New Roman"/>
          <w:b/>
          <w:bCs/>
          <w:sz w:val="20"/>
          <w:szCs w:val="20"/>
          <w:lang w:val="en-US"/>
        </w:rPr>
        <w:t>Neurofilament Light Chain (NFL)</w:t>
      </w:r>
    </w:p>
    <w:p w:rsidR="00D55A80" w:rsidRPr="00D55A80" w:rsidRDefault="00D55A80" w:rsidP="00D55A80">
      <w:pPr>
        <w:spacing w:line="240" w:lineRule="auto"/>
        <w:rPr>
          <w:rFonts w:ascii="Times New Roman" w:hAnsi="Times New Roman" w:cs="Times New Roman"/>
          <w:sz w:val="20"/>
          <w:szCs w:val="20"/>
          <w:lang w:val="en-US"/>
        </w:rPr>
      </w:pPr>
      <w:r w:rsidRPr="00D55A80">
        <w:rPr>
          <w:rFonts w:ascii="Times New Roman" w:hAnsi="Times New Roman" w:cs="Times New Roman"/>
          <w:sz w:val="20"/>
          <w:szCs w:val="20"/>
          <w:lang w:val="en-US"/>
        </w:rPr>
        <w:t xml:space="preserve">NFL was measured by enzyme-linked immunosorbent assay (ELISA) using a commercially available kit from Uman Diagnostics, Umeå, Sweden (NF-light® (Neurofilament light) ELISA, 10-7001-CE). Inter-assay CV was 1.6% (n = 3). Intra-assay CV was 1.2%, 1.5% and 1.4% respectively. </w:t>
      </w:r>
      <w:r w:rsidRPr="00D55A80">
        <w:rPr>
          <w:rFonts w:ascii="Times New Roman" w:eastAsia="Times New Roman" w:hAnsi="Times New Roman" w:cs="Times New Roman"/>
          <w:sz w:val="20"/>
          <w:szCs w:val="20"/>
          <w:lang w:val="en-US"/>
        </w:rPr>
        <w:t>To account for batch and inter-assay variability, we analyzed all CSF NFL concentrations twice. Once in the screening process to determine whether CSF NFL concentrations fell below the chosen cut-off of 380 ng/L, and once again when comparing baseline and visit 48 concentrations.</w:t>
      </w:r>
    </w:p>
    <w:p w:rsidR="00D55A80" w:rsidRPr="00D55A80" w:rsidRDefault="00D55A80" w:rsidP="00D55A80">
      <w:pPr>
        <w:spacing w:line="240" w:lineRule="auto"/>
        <w:rPr>
          <w:rFonts w:ascii="Times New Roman" w:hAnsi="Times New Roman" w:cs="Times New Roman"/>
          <w:sz w:val="20"/>
          <w:szCs w:val="20"/>
          <w:lang w:val="en-US"/>
        </w:rPr>
      </w:pPr>
    </w:p>
    <w:p w:rsidR="00D55A80" w:rsidRPr="00D55A80" w:rsidRDefault="00D55A80" w:rsidP="00D55A80">
      <w:pPr>
        <w:rPr>
          <w:rFonts w:ascii="Times New Roman" w:hAnsi="Times New Roman" w:cs="Times New Roman"/>
          <w:b/>
          <w:bCs/>
          <w:sz w:val="20"/>
          <w:szCs w:val="20"/>
          <w:lang w:val="en-US"/>
        </w:rPr>
      </w:pPr>
      <w:r w:rsidRPr="00D55A80">
        <w:rPr>
          <w:rFonts w:ascii="Times New Roman" w:hAnsi="Times New Roman" w:cs="Times New Roman"/>
          <w:b/>
          <w:bCs/>
          <w:sz w:val="20"/>
          <w:szCs w:val="20"/>
          <w:lang w:val="en-US"/>
        </w:rPr>
        <w:t>Myelin Basic Protein (MBP)</w:t>
      </w:r>
    </w:p>
    <w:p w:rsidR="00D55A80" w:rsidRPr="00D55A80" w:rsidRDefault="00D55A80" w:rsidP="00D55A80">
      <w:pPr>
        <w:spacing w:line="240" w:lineRule="auto"/>
        <w:rPr>
          <w:rFonts w:ascii="Times New Roman" w:hAnsi="Times New Roman" w:cs="Times New Roman"/>
          <w:sz w:val="20"/>
          <w:szCs w:val="20"/>
          <w:lang w:val="en-US"/>
        </w:rPr>
      </w:pPr>
      <w:r w:rsidRPr="00D55A80">
        <w:rPr>
          <w:rFonts w:ascii="Times New Roman" w:hAnsi="Times New Roman" w:cs="Times New Roman"/>
          <w:sz w:val="20"/>
          <w:szCs w:val="20"/>
          <w:lang w:val="en-US"/>
        </w:rPr>
        <w:t xml:space="preserve">MBP was measured with an ELISA </w:t>
      </w:r>
      <w:proofErr w:type="spellStart"/>
      <w:r w:rsidRPr="00D55A80">
        <w:rPr>
          <w:rFonts w:ascii="Times New Roman" w:hAnsi="Times New Roman" w:cs="Times New Roman"/>
          <w:sz w:val="20"/>
          <w:szCs w:val="20"/>
          <w:lang w:val="en-US"/>
        </w:rPr>
        <w:t>DuoSet</w:t>
      </w:r>
      <w:proofErr w:type="spellEnd"/>
      <w:r w:rsidRPr="00D55A80">
        <w:rPr>
          <w:rFonts w:ascii="Times New Roman" w:hAnsi="Times New Roman" w:cs="Times New Roman"/>
          <w:sz w:val="20"/>
          <w:szCs w:val="20"/>
          <w:lang w:val="en-US"/>
        </w:rPr>
        <w:t xml:space="preserve"> from R&amp;D Systems (DY4228-05). Manufacturer instructions were followed except for a few modifications. Plates were incubated with capture antibodies (cat no. #844443) using a different coating buffer than the manufacturer specified. The applied coating buffer was a </w:t>
      </w:r>
      <w:r w:rsidRPr="00D55A80">
        <w:rPr>
          <w:rFonts w:ascii="Times New Roman" w:hAnsi="Times New Roman" w:cs="Times New Roman"/>
          <w:color w:val="000000"/>
          <w:sz w:val="20"/>
          <w:szCs w:val="20"/>
          <w:lang w:val="en-US"/>
        </w:rPr>
        <w:t xml:space="preserve">carbonate/bicarbonate buffer with pH 9.2-9.6 </w:t>
      </w:r>
      <w:r w:rsidRPr="00D55A80">
        <w:rPr>
          <w:rFonts w:ascii="Times New Roman" w:hAnsi="Times New Roman" w:cs="Times New Roman"/>
          <w:sz w:val="20"/>
          <w:szCs w:val="20"/>
          <w:lang w:val="en-US"/>
        </w:rPr>
        <w:t>(</w:t>
      </w:r>
      <w:proofErr w:type="spellStart"/>
      <w:r w:rsidRPr="00D55A80">
        <w:rPr>
          <w:rFonts w:ascii="Times New Roman" w:hAnsi="Times New Roman" w:cs="Times New Roman"/>
          <w:sz w:val="20"/>
          <w:szCs w:val="20"/>
          <w:lang w:val="en-US"/>
        </w:rPr>
        <w:t>Biolegend</w:t>
      </w:r>
      <w:proofErr w:type="spellEnd"/>
      <w:r w:rsidRPr="00D55A80">
        <w:rPr>
          <w:rFonts w:ascii="Times New Roman" w:hAnsi="Times New Roman" w:cs="Times New Roman"/>
          <w:sz w:val="20"/>
          <w:szCs w:val="20"/>
          <w:lang w:val="en-US"/>
        </w:rPr>
        <w:t xml:space="preserve">, cat no. #421701) </w:t>
      </w:r>
      <w:r w:rsidRPr="00D55A80">
        <w:rPr>
          <w:rFonts w:ascii="Times New Roman" w:hAnsi="Times New Roman" w:cs="Times New Roman"/>
          <w:color w:val="000000"/>
          <w:sz w:val="20"/>
          <w:szCs w:val="20"/>
          <w:lang w:val="en-US"/>
        </w:rPr>
        <w:t>to stabilized capture antigens instead of the one specified by the manufacturer (PBS, pH 7.4)</w:t>
      </w:r>
      <w:r w:rsidRPr="00D55A80">
        <w:rPr>
          <w:rFonts w:ascii="Times New Roman" w:hAnsi="Times New Roman" w:cs="Times New Roman"/>
          <w:sz w:val="20"/>
          <w:szCs w:val="20"/>
          <w:lang w:val="en-US"/>
        </w:rPr>
        <w:t xml:space="preserve">. CSF was thawed on ice, and plates were incubated overnight (4 °c, 450 RPM).  The plates were read on a </w:t>
      </w:r>
      <w:proofErr w:type="spellStart"/>
      <w:r w:rsidRPr="00D55A80">
        <w:rPr>
          <w:rFonts w:ascii="Times New Roman" w:hAnsi="Times New Roman" w:cs="Times New Roman"/>
          <w:sz w:val="20"/>
          <w:szCs w:val="20"/>
          <w:lang w:val="en-US"/>
        </w:rPr>
        <w:t>BioTek</w:t>
      </w:r>
      <w:proofErr w:type="spellEnd"/>
      <w:r w:rsidRPr="00D55A80">
        <w:rPr>
          <w:rFonts w:ascii="Times New Roman" w:hAnsi="Times New Roman" w:cs="Times New Roman"/>
          <w:sz w:val="20"/>
          <w:szCs w:val="20"/>
          <w:lang w:val="en-US"/>
        </w:rPr>
        <w:t xml:space="preserve"> ELISA reader. The inter-assay CV (n=4) of low control was 12.8%.</w:t>
      </w:r>
    </w:p>
    <w:p w:rsidR="00D55A80" w:rsidRPr="00D55A80" w:rsidRDefault="00D55A80" w:rsidP="00D55A80">
      <w:pPr>
        <w:spacing w:line="240" w:lineRule="auto"/>
        <w:rPr>
          <w:rFonts w:ascii="Times New Roman" w:hAnsi="Times New Roman" w:cs="Times New Roman"/>
          <w:color w:val="000000"/>
          <w:sz w:val="20"/>
          <w:szCs w:val="20"/>
          <w:lang w:val="en-US"/>
        </w:rPr>
      </w:pPr>
    </w:p>
    <w:p w:rsidR="00D55A80" w:rsidRPr="00D55A80" w:rsidRDefault="00D55A80" w:rsidP="00D55A80">
      <w:pPr>
        <w:rPr>
          <w:rFonts w:ascii="Times New Roman" w:hAnsi="Times New Roman" w:cs="Times New Roman"/>
          <w:b/>
          <w:bCs/>
          <w:sz w:val="20"/>
          <w:szCs w:val="20"/>
          <w:lang w:val="en-US"/>
        </w:rPr>
      </w:pPr>
      <w:r w:rsidRPr="00D55A80">
        <w:rPr>
          <w:rFonts w:ascii="Times New Roman" w:hAnsi="Times New Roman" w:cs="Times New Roman"/>
          <w:b/>
          <w:bCs/>
          <w:sz w:val="20"/>
          <w:szCs w:val="20"/>
          <w:lang w:val="en-US"/>
        </w:rPr>
        <w:t>Chitinase-3-like-1 (CHI3L1), soluble B-cell maturation antigen (sBCMA), soluble CD27 (sCD27), and soluble CD14 (sCD14)</w:t>
      </w:r>
    </w:p>
    <w:p w:rsidR="00D55A80" w:rsidRDefault="00D55A80" w:rsidP="00D55A80">
      <w:pPr>
        <w:rPr>
          <w:rFonts w:ascii="Times New Roman" w:hAnsi="Times New Roman" w:cs="Times New Roman"/>
          <w:sz w:val="20"/>
          <w:szCs w:val="20"/>
          <w:lang w:val="en-US"/>
        </w:rPr>
      </w:pPr>
      <w:r w:rsidRPr="00D55A80">
        <w:rPr>
          <w:rFonts w:ascii="Times New Roman" w:hAnsi="Times New Roman" w:cs="Times New Roman"/>
          <w:sz w:val="20"/>
          <w:szCs w:val="20"/>
          <w:lang w:val="en-US"/>
        </w:rPr>
        <w:t xml:space="preserve">CSF concentrations of CHI3L1, sBCMA, sCD27, and sCD14 were </w:t>
      </w:r>
      <w:proofErr w:type="spellStart"/>
      <w:r w:rsidRPr="00D55A80">
        <w:rPr>
          <w:rFonts w:ascii="Times New Roman" w:hAnsi="Times New Roman" w:cs="Times New Roman"/>
          <w:sz w:val="20"/>
          <w:szCs w:val="20"/>
          <w:lang w:val="en-US"/>
        </w:rPr>
        <w:t>analysed</w:t>
      </w:r>
      <w:proofErr w:type="spellEnd"/>
      <w:r w:rsidRPr="00D55A80">
        <w:rPr>
          <w:rFonts w:ascii="Times New Roman" w:hAnsi="Times New Roman" w:cs="Times New Roman"/>
          <w:sz w:val="20"/>
          <w:szCs w:val="20"/>
          <w:lang w:val="en-US"/>
        </w:rPr>
        <w:t xml:space="preserve"> according to manufacturer instructions (dilution 1:2 for sBCMA and sCD27; and 1:20 for CHI3L1 and sCD14) using an in-house validated Human Magnetic Luminex Assay from R&amp;D Systems (R&amp;D Systems, Minneapolis, US) (Cat. no. LXSAHM-02).</w:t>
      </w:r>
      <w:r w:rsidRPr="00D55A80">
        <w:rPr>
          <w:rFonts w:ascii="Times New Roman" w:hAnsi="Times New Roman" w:cs="Times New Roman"/>
          <w:sz w:val="20"/>
          <w:szCs w:val="20"/>
          <w:lang w:val="en-US"/>
        </w:rPr>
        <w:fldChar w:fldCharType="begin" w:fldLock="1"/>
      </w:r>
      <w:r w:rsidR="00CD15E8">
        <w:rPr>
          <w:rFonts w:ascii="Times New Roman" w:hAnsi="Times New Roman" w:cs="Times New Roman"/>
          <w:sz w:val="20"/>
          <w:szCs w:val="20"/>
          <w:lang w:val="en-US"/>
        </w:rPr>
        <w:instrText>ADDIN CSL_CITATION { "citationItems" : [ { "id" : "ITEM-1", "itemData" : { "DOI" : "10.1016/j.msard.2020.102391", "ISSN" : "22110356", "PMID" : "32679525", "abstract" : "Background: Several roles for biomarkers in multiple sclerosis (MS) exist, including aiding in the diagnosis of MS, predicting disease activity or progression, and defining individuals who may be responsive to specific treatments. Cerebrospinal fluid (CSF) concentrations of soluble B cell maturation antigen (sBCMA) and soluble CD27 (sCD27) have been shown to be sensitive biomarkers of inflammation in MS and are thought to reflect B and T cell activity, respectively. Furthermore, chitinase 3-like 1 (CHI3L1) and soluble CD14 (sCD14) have been suggested as measures of innate immune cell activity in MS. In this study we sought to validate measurements of these CSF biomarkers of inflammation using multiplex bead-based immunoassays. Methods: By using commercially available multiplex bead-based assays, concentrations of sBCMA, sCD27, sCD14 and CHI3L1 were determined in CSF from 22 patients with either untreated clinically isolated syndromes (CIS) or relapsing-remitting MS (RRMS), 13 patients with RRMS treated with either natalizumab or alemtuzumab, and 35 symptomatic controls (SC). Results: Increased CSF concentrations of sBCMA, sCD27 and CHI3L1 were observed in untreated MS patients compared to symptomatic controls (all p &lt; 0.001). Concentrations of sBCMA (p = 0.02) and sCD27 (p = 0.0003) were higher in treated MS patients than in SC, and levels of sBCMA (p = 0.02) and sCD27 (p = 0.01) were even higher in untreated compared to treated patients. sCD14 levels did not differ between the groups. Levels of sBCMA and sCD27 correlated strongly with each other (Spearman's rho: 0.98, p &lt; 0.0001) as well as with the IgG index (Spearman's rho: 0.91, p &lt; 0.0001 and 0.90, p &lt; 0.0001, respectively). ROC curve analysis showed a high discriminatory potential for sBCMA and sCD27 with areas under the curve of 0.88 and 0.93, respectively. Conclusion: We confirm reports of elevated concentrations of sBCMA, sCD27 and CHI3L1 in CSF from untreated MS patients compared to SC. sBCMA and sCD27 levels were elevated in both treated and untreated MS patients compared to SC, but highest in untreated patients. Finally, CSF concentrations of sBCMA, sCD27 and the IgG index correlated strongly, suggesting that the cellular source of sCD27 and sBCMA includes memory B cells, plasmablasts and plasma cells.", "author" : [ { "dropping-particle" : "", "family" : "Mahler", "given" : "Mie Reith", "non-dropping-particle" : "", "parse-names" : false, "suffix" : "" }, { "dropping-particle" : "", "family" : "S\u00f8ndergaard", "given" : "Helle Bach", "non-dropping-particle" : "", "parse-names" : false, "suffix" : "" }, { "dropping-particle" : "", "family" : "Buhelt", "given" : "Sophie", "non-dropping-particle" : "", "parse-names" : false, "suffix" : "" }, { "dropping-particle" : "", "family" : "Essen", "given" : "Marina Rode", "non-dropping-particle" : "von", "parse-names" : false, "suffix" : "" }, { "dropping-particle" : "", "family" : "Romme Christensen", "given" : "Jeppe", "non-dropping-particle" : "", "parse-names" : false, "suffix" : "" }, { "dropping-particle" : "", "family" : "Enevold", "given" : "Christian", "non-dropping-particle" : "", "parse-names" : false, "suffix" : "" }, { "dropping-particle" : "", "family" : "Sellebjerg", "given" : "Finn", "non-dropping-particle" : "", "parse-names" : false, "suffix" : "" } ], "container-title" : "Multiple Sclerosis and Related Disorders", "id" : "ITEM-1", "issued" : { "date-parts" : [ [ "2020" ] ] }, "title" : "Multiplex assessment of cerebrospinal fluid biomarkers in multiple sclerosis", "type" : "article-journal", "volume" : "45" }, "uris" : [ "http://www.mendeley.com/documents/?uuid=9982feed-ef9e-47de-8531-d34e917a7423" ] } ], "mendeley" : { "formattedCitation" : "&lt;sup&gt;1&lt;/sup&gt;", "plainTextFormattedCitation" : "1", "previouslyFormattedCitation" : "&lt;sup&gt;2&lt;/sup&gt;" }, "properties" : {  }, "schema" : "https://github.com/citation-style-language/schema/raw/master/csl-citation.json" }</w:instrText>
      </w:r>
      <w:r w:rsidRPr="00D55A80">
        <w:rPr>
          <w:rFonts w:ascii="Times New Roman" w:hAnsi="Times New Roman" w:cs="Times New Roman"/>
          <w:sz w:val="20"/>
          <w:szCs w:val="20"/>
          <w:lang w:val="en-US"/>
        </w:rPr>
        <w:fldChar w:fldCharType="separate"/>
      </w:r>
      <w:r w:rsidR="00CD15E8" w:rsidRPr="00CD15E8">
        <w:rPr>
          <w:rFonts w:ascii="Times New Roman" w:hAnsi="Times New Roman" w:cs="Times New Roman"/>
          <w:noProof/>
          <w:sz w:val="20"/>
          <w:szCs w:val="20"/>
          <w:vertAlign w:val="superscript"/>
          <w:lang w:val="en-US"/>
        </w:rPr>
        <w:t>1</w:t>
      </w:r>
      <w:r w:rsidRPr="00D55A80">
        <w:rPr>
          <w:rFonts w:ascii="Times New Roman" w:hAnsi="Times New Roman" w:cs="Times New Roman"/>
          <w:sz w:val="20"/>
          <w:szCs w:val="20"/>
          <w:lang w:val="en-US"/>
        </w:rPr>
        <w:fldChar w:fldCharType="end"/>
      </w:r>
      <w:r w:rsidRPr="00D55A80">
        <w:rPr>
          <w:rFonts w:ascii="Times New Roman" w:hAnsi="Times New Roman" w:cs="Times New Roman"/>
          <w:sz w:val="20"/>
          <w:szCs w:val="20"/>
          <w:lang w:val="en-US"/>
        </w:rPr>
        <w:t xml:space="preserve"> Plates were read using a Bio-Plex 200 Instrument (Bio-Rad Laboratories, Copenhagen, Denmark), and data were acquired using the Bio-Plex Manager 6.0 software (Bio-Rad Laboratories, Copenhagen, Denmark). Inter-assay CV (n=3) of mid control was 6.7 % for CHI3L1; 6.0 % for sBCMA; 8.5 % for sCD27 and 7.6 % for sCD14.</w:t>
      </w:r>
    </w:p>
    <w:p w:rsidR="00CD15E8" w:rsidRDefault="00CD15E8" w:rsidP="00D55A80">
      <w:pPr>
        <w:rPr>
          <w:rFonts w:ascii="Times New Roman" w:hAnsi="Times New Roman" w:cs="Times New Roman"/>
          <w:sz w:val="20"/>
          <w:szCs w:val="20"/>
          <w:lang w:val="en-US"/>
        </w:rPr>
      </w:pPr>
    </w:p>
    <w:p w:rsidR="00CD15E8" w:rsidRPr="00CD15E8" w:rsidRDefault="00CD15E8" w:rsidP="00D55A80">
      <w:pPr>
        <w:rPr>
          <w:rFonts w:ascii="Times New Roman" w:hAnsi="Times New Roman" w:cs="Times New Roman"/>
          <w:b/>
          <w:bCs/>
          <w:sz w:val="20"/>
          <w:szCs w:val="20"/>
          <w:lang w:val="en-US"/>
        </w:rPr>
      </w:pPr>
      <w:r>
        <w:rPr>
          <w:rFonts w:ascii="Times New Roman" w:hAnsi="Times New Roman" w:cs="Times New Roman"/>
          <w:b/>
          <w:bCs/>
          <w:sz w:val="20"/>
          <w:szCs w:val="20"/>
          <w:lang w:val="en-US"/>
        </w:rPr>
        <w:t>References</w:t>
      </w:r>
    </w:p>
    <w:p w:rsidR="00CD15E8" w:rsidRPr="00CD15E8" w:rsidRDefault="00CD15E8" w:rsidP="00CD15E8">
      <w:pPr>
        <w:widowControl w:val="0"/>
        <w:autoSpaceDE w:val="0"/>
        <w:autoSpaceDN w:val="0"/>
        <w:adjustRightInd w:val="0"/>
        <w:spacing w:line="240" w:lineRule="auto"/>
        <w:ind w:left="640" w:hanging="640"/>
        <w:rPr>
          <w:rFonts w:ascii="Times New Roman" w:hAnsi="Times New Roman" w:cs="Times New Roman"/>
          <w:noProof/>
          <w:sz w:val="20"/>
          <w:szCs w:val="20"/>
        </w:rPr>
      </w:pPr>
      <w:r w:rsidRPr="00CD15E8">
        <w:rPr>
          <w:rFonts w:ascii="Times New Roman" w:hAnsi="Times New Roman" w:cs="Times New Roman"/>
          <w:b/>
          <w:bCs/>
          <w:sz w:val="20"/>
          <w:szCs w:val="20"/>
          <w:lang w:val="en-US"/>
        </w:rPr>
        <w:fldChar w:fldCharType="begin" w:fldLock="1"/>
      </w:r>
      <w:r w:rsidRPr="00CD15E8">
        <w:rPr>
          <w:rFonts w:ascii="Times New Roman" w:hAnsi="Times New Roman" w:cs="Times New Roman"/>
          <w:b/>
          <w:bCs/>
          <w:sz w:val="20"/>
          <w:szCs w:val="20"/>
          <w:lang w:val="en-US"/>
        </w:rPr>
        <w:instrText xml:space="preserve">ADDIN Mendeley Bibliography CSL_BIBLIOGRAPHY </w:instrText>
      </w:r>
      <w:r w:rsidRPr="00CD15E8">
        <w:rPr>
          <w:rFonts w:ascii="Times New Roman" w:hAnsi="Times New Roman" w:cs="Times New Roman"/>
          <w:b/>
          <w:bCs/>
          <w:sz w:val="20"/>
          <w:szCs w:val="20"/>
          <w:lang w:val="en-US"/>
        </w:rPr>
        <w:fldChar w:fldCharType="separate"/>
      </w:r>
      <w:bookmarkStart w:id="0" w:name="_GoBack"/>
      <w:r w:rsidRPr="006D2D36">
        <w:rPr>
          <w:rFonts w:ascii="Times New Roman" w:hAnsi="Times New Roman" w:cs="Times New Roman"/>
          <w:noProof/>
          <w:sz w:val="20"/>
          <w:szCs w:val="20"/>
          <w:lang w:val="en-US"/>
        </w:rPr>
        <w:t xml:space="preserve">1. </w:t>
      </w:r>
      <w:r w:rsidRPr="006D2D36">
        <w:rPr>
          <w:rFonts w:ascii="Times New Roman" w:hAnsi="Times New Roman" w:cs="Times New Roman"/>
          <w:noProof/>
          <w:sz w:val="20"/>
          <w:szCs w:val="20"/>
          <w:lang w:val="en-US"/>
        </w:rPr>
        <w:tab/>
        <w:t xml:space="preserve">Mahler MR, Søndergaard HB, Buhelt S, von Essen MR, Romme Christensen J, Enevold C, et al. Multiplex assessment of cerebrospinal fluid biomarkers in multiple sclerosis. </w:t>
      </w:r>
      <w:bookmarkEnd w:id="0"/>
      <w:r w:rsidRPr="00CD15E8">
        <w:rPr>
          <w:rFonts w:ascii="Times New Roman" w:hAnsi="Times New Roman" w:cs="Times New Roman"/>
          <w:noProof/>
          <w:sz w:val="20"/>
          <w:szCs w:val="20"/>
        </w:rPr>
        <w:t xml:space="preserve">Mult Scler Relat Disord. 2020;45. </w:t>
      </w:r>
    </w:p>
    <w:p w:rsidR="00CD15E8" w:rsidRPr="00D55A80" w:rsidRDefault="00CD15E8" w:rsidP="00D55A80">
      <w:pPr>
        <w:rPr>
          <w:rFonts w:ascii="Times New Roman" w:hAnsi="Times New Roman" w:cs="Times New Roman"/>
          <w:b/>
          <w:bCs/>
          <w:sz w:val="28"/>
          <w:szCs w:val="28"/>
          <w:lang w:val="en-US"/>
        </w:rPr>
      </w:pPr>
      <w:r w:rsidRPr="00CD15E8">
        <w:rPr>
          <w:rFonts w:ascii="Times New Roman" w:hAnsi="Times New Roman" w:cs="Times New Roman"/>
          <w:b/>
          <w:bCs/>
          <w:sz w:val="20"/>
          <w:szCs w:val="20"/>
          <w:lang w:val="en-US"/>
        </w:rPr>
        <w:fldChar w:fldCharType="end"/>
      </w:r>
    </w:p>
    <w:sectPr w:rsidR="00CD15E8" w:rsidRPr="00D55A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80"/>
    <w:rsid w:val="005C12D8"/>
    <w:rsid w:val="006D2D36"/>
    <w:rsid w:val="00AA5EE8"/>
    <w:rsid w:val="00CD15E8"/>
    <w:rsid w:val="00D55A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E396C-20FA-4388-A2D7-3F5EC2A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55A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5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BD78-12BD-4AD1-A924-1CCE8554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1040</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Højsgaard Chow</dc:creator>
  <cp:keywords/>
  <dc:description/>
  <cp:lastModifiedBy>Helene Højsgaard Chow</cp:lastModifiedBy>
  <cp:revision>4</cp:revision>
  <dcterms:created xsi:type="dcterms:W3CDTF">2021-03-17T07:53:00Z</dcterms:created>
  <dcterms:modified xsi:type="dcterms:W3CDTF">2021-04-14T07:07:00Z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http://www.zotero.org/styles/neurology</vt:lpwstr>
  </property>
  <property fmtid="{D5CDD505-2E9C-101B-9397-08002B2CF9AE}" pid="13" name="Mendeley Recent Style Name 5_1">
    <vt:lpwstr>Neurology</vt:lpwstr>
  </property>
  <property fmtid="{D5CDD505-2E9C-101B-9397-08002B2CF9AE}" pid="14" name="Mendeley Recent Style Id 6_1">
    <vt:lpwstr>http://csl.mendeley.com/styles/189139121/neurology-2</vt:lpwstr>
  </property>
  <property fmtid="{D5CDD505-2E9C-101B-9397-08002B2CF9AE}" pid="15" name="Mendeley Recent Style Name 6_1">
    <vt:lpwstr>Neurology - Helene Højsgaard Chow</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https://csl.mendeley.com/styles/189139121/vancouver</vt:lpwstr>
  </property>
  <property fmtid="{D5CDD505-2E9C-101B-9397-08002B2CF9AE}" pid="19" name="Mendeley Recent Style Name 8_1">
    <vt:lpwstr>Vancouver - Helene Højsgaard Chow</vt:lpwstr>
  </property>
  <property fmtid="{D5CDD505-2E9C-101B-9397-08002B2CF9AE}" pid="20" name="Mendeley Recent Style Id 9_1">
    <vt:lpwstr>http://csl.mendeley.com/styles/189139121/vancouver</vt:lpwstr>
  </property>
  <property fmtid="{D5CDD505-2E9C-101B-9397-08002B2CF9AE}" pid="21" name="Mendeley Recent Style Name 9_1">
    <vt:lpwstr>Vancouver - Helene Højsgaard Chow</vt:lpwstr>
  </property>
  <property fmtid="{D5CDD505-2E9C-101B-9397-08002B2CF9AE}" pid="22" name="Mendeley Document_1">
    <vt:lpwstr>True</vt:lpwstr>
  </property>
  <property fmtid="{D5CDD505-2E9C-101B-9397-08002B2CF9AE}" pid="23" name="Mendeley Unique User Id_1">
    <vt:lpwstr>4960f9c5-c526-3061-9a55-484bd38f4e8e</vt:lpwstr>
  </property>
  <property fmtid="{D5CDD505-2E9C-101B-9397-08002B2CF9AE}" pid="24" name="Mendeley Citation Style_1">
    <vt:lpwstr>http://csl.mendeley.com/styles/189139121/vancouver</vt:lpwstr>
  </property>
</Properties>
</file>