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D8" w:rsidRDefault="00DE28D9">
      <w:pPr>
        <w:rPr>
          <w:rFonts w:ascii="Times New Roman" w:hAnsi="Times New Roman" w:cs="Times New Roman"/>
          <w:b/>
          <w:bCs/>
          <w:sz w:val="28"/>
          <w:szCs w:val="28"/>
          <w:lang w:val="en-US"/>
        </w:rPr>
      </w:pPr>
      <w:r w:rsidRPr="00DE28D9">
        <w:rPr>
          <w:rFonts w:ascii="Times New Roman" w:hAnsi="Times New Roman" w:cs="Times New Roman"/>
          <w:b/>
          <w:bCs/>
          <w:sz w:val="28"/>
          <w:szCs w:val="28"/>
          <w:lang w:val="en-US"/>
        </w:rPr>
        <w:t>Supplemental material 5</w:t>
      </w:r>
    </w:p>
    <w:p w:rsidR="00DE28D9" w:rsidRDefault="00DE28D9">
      <w:pPr>
        <w:rPr>
          <w:rFonts w:ascii="Times New Roman" w:hAnsi="Times New Roman" w:cs="Times New Roman"/>
          <w:b/>
          <w:bCs/>
          <w:sz w:val="28"/>
          <w:szCs w:val="28"/>
          <w:lang w:val="en-US"/>
        </w:rPr>
      </w:pPr>
      <w:bookmarkStart w:id="0" w:name="_GoBack"/>
      <w:bookmarkEnd w:id="0"/>
    </w:p>
    <w:p w:rsidR="00C04397" w:rsidRPr="00C04397" w:rsidRDefault="00C04397">
      <w:pPr>
        <w:rPr>
          <w:rFonts w:ascii="Times New Roman" w:hAnsi="Times New Roman" w:cs="Times New Roman"/>
          <w:b/>
          <w:bCs/>
          <w:sz w:val="24"/>
          <w:szCs w:val="24"/>
          <w:lang w:val="en-US"/>
        </w:rPr>
      </w:pPr>
      <w:r>
        <w:rPr>
          <w:rFonts w:ascii="Times New Roman" w:hAnsi="Times New Roman" w:cs="Times New Roman"/>
          <w:b/>
          <w:bCs/>
          <w:sz w:val="24"/>
          <w:szCs w:val="24"/>
          <w:lang w:val="en-US"/>
        </w:rPr>
        <w:t>Remaining secondary efficacy endpoints</w:t>
      </w:r>
    </w:p>
    <w:tbl>
      <w:tblPr>
        <w:tblW w:w="0" w:type="auto"/>
        <w:tblLook w:val="07E0" w:firstRow="1" w:lastRow="1" w:firstColumn="1" w:lastColumn="1" w:noHBand="1" w:noVBand="1"/>
      </w:tblPr>
      <w:tblGrid>
        <w:gridCol w:w="2341"/>
        <w:gridCol w:w="1270"/>
        <w:gridCol w:w="1584"/>
        <w:gridCol w:w="2685"/>
        <w:gridCol w:w="973"/>
        <w:gridCol w:w="785"/>
      </w:tblGrid>
      <w:tr w:rsidR="00DE28D9" w:rsidRPr="00352B6C" w:rsidTr="00DE28D9">
        <w:tc>
          <w:tcPr>
            <w:tcW w:w="0" w:type="auto"/>
          </w:tcPr>
          <w:p w:rsidR="00DE28D9" w:rsidRPr="00DE28D9" w:rsidRDefault="00DE28D9" w:rsidP="001D247E">
            <w:pPr>
              <w:pStyle w:val="Compact"/>
              <w:rPr>
                <w:rFonts w:ascii="Times New Roman" w:hAnsi="Times New Roman" w:cs="Times New Roman"/>
                <w:b/>
                <w:sz w:val="20"/>
                <w:szCs w:val="20"/>
              </w:rPr>
            </w:pPr>
          </w:p>
        </w:tc>
        <w:tc>
          <w:tcPr>
            <w:tcW w:w="0" w:type="auto"/>
            <w:gridSpan w:val="2"/>
          </w:tcPr>
          <w:p w:rsidR="00DE28D9" w:rsidRPr="00DE28D9" w:rsidRDefault="00DE28D9" w:rsidP="001D247E">
            <w:pPr>
              <w:pStyle w:val="Compact"/>
              <w:rPr>
                <w:rFonts w:ascii="Times New Roman" w:hAnsi="Times New Roman" w:cs="Times New Roman"/>
                <w:b/>
                <w:bCs/>
                <w:sz w:val="20"/>
                <w:szCs w:val="20"/>
              </w:rPr>
            </w:pPr>
            <w:r w:rsidRPr="00DE28D9">
              <w:rPr>
                <w:rFonts w:ascii="Times New Roman" w:hAnsi="Times New Roman" w:cs="Times New Roman"/>
                <w:b/>
                <w:bCs/>
                <w:sz w:val="20"/>
                <w:szCs w:val="20"/>
              </w:rPr>
              <w:t>Endpoint values</w:t>
            </w:r>
          </w:p>
        </w:tc>
        <w:tc>
          <w:tcPr>
            <w:tcW w:w="0" w:type="auto"/>
          </w:tcPr>
          <w:p w:rsidR="00DE28D9" w:rsidRPr="00DE28D9" w:rsidRDefault="00DE28D9" w:rsidP="001D247E">
            <w:pPr>
              <w:pStyle w:val="Compact"/>
              <w:rPr>
                <w:rFonts w:ascii="Times New Roman" w:hAnsi="Times New Roman" w:cs="Times New Roman"/>
                <w:b/>
                <w:bCs/>
                <w:sz w:val="20"/>
                <w:szCs w:val="20"/>
                <w:vertAlign w:val="superscript"/>
              </w:rPr>
            </w:pPr>
            <w:r w:rsidRPr="00DE28D9">
              <w:rPr>
                <w:rFonts w:ascii="Times New Roman" w:hAnsi="Times New Roman" w:cs="Times New Roman"/>
                <w:b/>
                <w:bCs/>
                <w:sz w:val="20"/>
                <w:szCs w:val="20"/>
              </w:rPr>
              <w:t>Treatment effects, dimethyl fumarate vs placebo (n=</w:t>
            </w:r>
            <w:proofErr w:type="gramStart"/>
            <w:r w:rsidRPr="00DE28D9">
              <w:rPr>
                <w:rFonts w:ascii="Times New Roman" w:hAnsi="Times New Roman" w:cs="Times New Roman"/>
                <w:b/>
                <w:bCs/>
                <w:sz w:val="20"/>
                <w:szCs w:val="20"/>
              </w:rPr>
              <w:t>54)</w:t>
            </w:r>
            <w:r w:rsidRPr="00DE28D9">
              <w:rPr>
                <w:rFonts w:ascii="Times New Roman" w:hAnsi="Times New Roman" w:cs="Times New Roman"/>
                <w:b/>
                <w:bCs/>
                <w:sz w:val="20"/>
                <w:szCs w:val="20"/>
                <w:vertAlign w:val="superscript"/>
              </w:rPr>
              <w:t>a</w:t>
            </w:r>
            <w:proofErr w:type="gramEnd"/>
          </w:p>
        </w:tc>
        <w:tc>
          <w:tcPr>
            <w:tcW w:w="0" w:type="auto"/>
          </w:tcPr>
          <w:p w:rsidR="00DE28D9" w:rsidRPr="00DE28D9" w:rsidRDefault="00DE28D9" w:rsidP="001D247E">
            <w:pPr>
              <w:pStyle w:val="Compact"/>
              <w:rPr>
                <w:rFonts w:ascii="Times New Roman" w:hAnsi="Times New Roman" w:cs="Times New Roman"/>
                <w:b/>
                <w:bCs/>
                <w:i/>
                <w:iCs/>
                <w:sz w:val="20"/>
                <w:szCs w:val="20"/>
              </w:rPr>
            </w:pPr>
          </w:p>
        </w:tc>
        <w:tc>
          <w:tcPr>
            <w:tcW w:w="0" w:type="auto"/>
          </w:tcPr>
          <w:p w:rsidR="00DE28D9" w:rsidRPr="00DE28D9" w:rsidRDefault="00DE28D9" w:rsidP="001D247E">
            <w:pPr>
              <w:pStyle w:val="Compact"/>
              <w:rPr>
                <w:rFonts w:ascii="Times New Roman" w:hAnsi="Times New Roman" w:cs="Times New Roman"/>
                <w:b/>
                <w:bCs/>
                <w:i/>
                <w:iCs/>
                <w:sz w:val="20"/>
                <w:szCs w:val="20"/>
              </w:rPr>
            </w:pPr>
          </w:p>
        </w:tc>
      </w:tr>
      <w:tr w:rsidR="00DE28D9" w:rsidRPr="00DE28D9" w:rsidTr="00DE28D9">
        <w:tc>
          <w:tcPr>
            <w:tcW w:w="0" w:type="auto"/>
            <w:tcBorders>
              <w:bottom w:val="single" w:sz="4" w:space="0" w:color="auto"/>
            </w:tcBorders>
          </w:tcPr>
          <w:p w:rsidR="00DE28D9" w:rsidRPr="00DE28D9" w:rsidRDefault="00DE28D9" w:rsidP="001D247E">
            <w:pPr>
              <w:pStyle w:val="Compact"/>
              <w:rPr>
                <w:rFonts w:ascii="Times New Roman" w:hAnsi="Times New Roman" w:cs="Times New Roman"/>
                <w:b/>
                <w:sz w:val="20"/>
                <w:szCs w:val="20"/>
              </w:rPr>
            </w:pPr>
            <w:r w:rsidRPr="00DE28D9">
              <w:rPr>
                <w:rFonts w:ascii="Times New Roman" w:hAnsi="Times New Roman" w:cs="Times New Roman"/>
                <w:b/>
                <w:sz w:val="20"/>
                <w:szCs w:val="20"/>
              </w:rPr>
              <w:t>Efficacy measure</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
                <w:bCs/>
                <w:sz w:val="20"/>
                <w:szCs w:val="20"/>
              </w:rPr>
            </w:pPr>
            <w:r w:rsidRPr="00DE28D9">
              <w:rPr>
                <w:rFonts w:ascii="Times New Roman" w:hAnsi="Times New Roman" w:cs="Times New Roman"/>
                <w:b/>
                <w:bCs/>
                <w:sz w:val="20"/>
                <w:szCs w:val="20"/>
              </w:rPr>
              <w:t>Placebo (n=24)</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
                <w:bCs/>
                <w:sz w:val="20"/>
                <w:szCs w:val="20"/>
              </w:rPr>
            </w:pPr>
            <w:r w:rsidRPr="00DE28D9">
              <w:rPr>
                <w:rFonts w:ascii="Times New Roman" w:hAnsi="Times New Roman" w:cs="Times New Roman"/>
                <w:b/>
                <w:bCs/>
                <w:sz w:val="20"/>
                <w:szCs w:val="20"/>
              </w:rPr>
              <w:t>Dimethyl fumarate (n=26)</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
                <w:bCs/>
                <w:sz w:val="20"/>
                <w:szCs w:val="20"/>
              </w:rPr>
            </w:pPr>
            <w:proofErr w:type="spellStart"/>
            <w:r w:rsidRPr="00DE28D9">
              <w:rPr>
                <w:rFonts w:ascii="Times New Roman" w:hAnsi="Times New Roman" w:cs="Times New Roman"/>
                <w:b/>
                <w:bCs/>
                <w:sz w:val="20"/>
                <w:szCs w:val="20"/>
              </w:rPr>
              <w:t>Estimate</w:t>
            </w:r>
            <w:r w:rsidRPr="00DE28D9">
              <w:rPr>
                <w:rFonts w:ascii="Times New Roman" w:hAnsi="Times New Roman" w:cs="Times New Roman"/>
                <w:sz w:val="20"/>
                <w:szCs w:val="20"/>
                <w:vertAlign w:val="superscript"/>
              </w:rPr>
              <w:t>b</w:t>
            </w:r>
            <w:proofErr w:type="spellEnd"/>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
                <w:bCs/>
                <w:i/>
                <w:iCs/>
                <w:sz w:val="20"/>
                <w:szCs w:val="20"/>
              </w:rPr>
            </w:pPr>
            <w:r w:rsidRPr="00DE28D9">
              <w:rPr>
                <w:rFonts w:ascii="Times New Roman" w:hAnsi="Times New Roman" w:cs="Times New Roman"/>
                <w:b/>
                <w:bCs/>
                <w:i/>
                <w:iCs/>
                <w:sz w:val="20"/>
                <w:szCs w:val="20"/>
              </w:rPr>
              <w:t>95% CI</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
                <w:bCs/>
                <w:i/>
                <w:iCs/>
                <w:sz w:val="20"/>
                <w:szCs w:val="20"/>
              </w:rPr>
            </w:pPr>
            <w:r w:rsidRPr="00DE28D9">
              <w:rPr>
                <w:rFonts w:ascii="Times New Roman" w:hAnsi="Times New Roman" w:cs="Times New Roman"/>
                <w:b/>
                <w:bCs/>
                <w:i/>
                <w:iCs/>
                <w:sz w:val="20"/>
                <w:szCs w:val="20"/>
              </w:rPr>
              <w:t>p-</w:t>
            </w:r>
            <w:proofErr w:type="spellStart"/>
            <w:r w:rsidRPr="00DE28D9">
              <w:rPr>
                <w:rFonts w:ascii="Times New Roman" w:hAnsi="Times New Roman" w:cs="Times New Roman"/>
                <w:b/>
                <w:bCs/>
                <w:i/>
                <w:iCs/>
                <w:sz w:val="20"/>
                <w:szCs w:val="20"/>
              </w:rPr>
              <w:t>value</w:t>
            </w:r>
            <w:r w:rsidRPr="00DE28D9">
              <w:rPr>
                <w:rFonts w:ascii="Times New Roman" w:hAnsi="Times New Roman" w:cs="Times New Roman"/>
                <w:b/>
                <w:bCs/>
                <w:i/>
                <w:iCs/>
                <w:sz w:val="20"/>
                <w:szCs w:val="20"/>
                <w:vertAlign w:val="superscript"/>
              </w:rPr>
              <w:t>c</w:t>
            </w:r>
            <w:proofErr w:type="spellEnd"/>
          </w:p>
        </w:tc>
      </w:tr>
      <w:tr w:rsidR="00DE28D9" w:rsidRPr="00DE28D9" w:rsidTr="00DE28D9">
        <w:tc>
          <w:tcPr>
            <w:tcW w:w="0" w:type="auto"/>
            <w:tcBorders>
              <w:top w:val="single" w:sz="4" w:space="0" w:color="auto"/>
            </w:tcBorders>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IgG index at baseline</w:t>
            </w:r>
          </w:p>
        </w:tc>
        <w:tc>
          <w:tcPr>
            <w:tcW w:w="0" w:type="auto"/>
            <w:tcBorders>
              <w:top w:val="single" w:sz="4" w:space="0" w:color="auto"/>
            </w:tcBorders>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0.6 (0.5–0.9)</w:t>
            </w:r>
          </w:p>
        </w:tc>
        <w:tc>
          <w:tcPr>
            <w:tcW w:w="0" w:type="auto"/>
            <w:tcBorders>
              <w:top w:val="single" w:sz="4" w:space="0" w:color="auto"/>
            </w:tcBorders>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0.6 (0.5–0.8)</w:t>
            </w:r>
          </w:p>
        </w:tc>
        <w:tc>
          <w:tcPr>
            <w:tcW w:w="0" w:type="auto"/>
            <w:tcBorders>
              <w:top w:val="single" w:sz="4" w:space="0" w:color="auto"/>
            </w:tcBorders>
          </w:tcPr>
          <w:p w:rsidR="00DE28D9" w:rsidRPr="00DE28D9" w:rsidRDefault="00DE28D9" w:rsidP="001D247E">
            <w:pPr>
              <w:pStyle w:val="Compact"/>
              <w:rPr>
                <w:rFonts w:ascii="Times New Roman" w:hAnsi="Times New Roman" w:cs="Times New Roman"/>
                <w:bCs/>
                <w:sz w:val="20"/>
                <w:szCs w:val="20"/>
              </w:rPr>
            </w:pPr>
          </w:p>
        </w:tc>
        <w:tc>
          <w:tcPr>
            <w:tcW w:w="0" w:type="auto"/>
            <w:tcBorders>
              <w:top w:val="single" w:sz="4" w:space="0" w:color="auto"/>
            </w:tcBorders>
          </w:tcPr>
          <w:p w:rsidR="00DE28D9" w:rsidRPr="00DE28D9" w:rsidRDefault="00DE28D9" w:rsidP="001D247E">
            <w:pPr>
              <w:pStyle w:val="Compact"/>
              <w:rPr>
                <w:rFonts w:ascii="Times New Roman" w:hAnsi="Times New Roman" w:cs="Times New Roman"/>
                <w:bCs/>
                <w:sz w:val="20"/>
                <w:szCs w:val="20"/>
              </w:rPr>
            </w:pPr>
          </w:p>
        </w:tc>
        <w:tc>
          <w:tcPr>
            <w:tcW w:w="0" w:type="auto"/>
            <w:tcBorders>
              <w:top w:val="single" w:sz="4" w:space="0" w:color="auto"/>
            </w:tcBorders>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0.74</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IgG index change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-0.03(0.12)</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-0.03 (0.08)</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-0.01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-0.07–0.06</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0.82</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Albumin quotient at baseline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5.8 (5.0–7.6)</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8.4 (6.5–9.0)</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0.02</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Albumin quotient change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0.1 (1.0)</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-0.8 (1.7)</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-0.6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-1.4–0.1</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0.10</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FA in NAWM at baseline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0.39 (0.38–0.40)</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0.39 (0.37–0.40)</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0.22</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FA in NAWM change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-0.001 (0.014)</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-0.000 (0.010)</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-0.001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-0.011–0.010</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0.89</w:t>
            </w:r>
          </w:p>
        </w:tc>
      </w:tr>
      <w:tr w:rsidR="00DE28D9" w:rsidRPr="00DE28D9" w:rsidTr="00DE28D9">
        <w:tc>
          <w:tcPr>
            <w:tcW w:w="0" w:type="auto"/>
            <w:shd w:val="clear" w:color="auto" w:fill="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T2 lesion volume at baseline (ml)</w:t>
            </w:r>
          </w:p>
        </w:tc>
        <w:tc>
          <w:tcPr>
            <w:tcW w:w="0" w:type="auto"/>
            <w:shd w:val="clear" w:color="auto" w:fill="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4.6 (1.8–14.9)</w:t>
            </w:r>
          </w:p>
        </w:tc>
        <w:tc>
          <w:tcPr>
            <w:tcW w:w="0" w:type="auto"/>
            <w:shd w:val="clear" w:color="auto" w:fill="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5.5 (3.0–14.2)</w:t>
            </w:r>
          </w:p>
        </w:tc>
        <w:tc>
          <w:tcPr>
            <w:tcW w:w="0" w:type="auto"/>
            <w:shd w:val="clear" w:color="auto" w:fill="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shd w:val="clear" w:color="auto" w:fill="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0.47</w:t>
            </w:r>
          </w:p>
        </w:tc>
      </w:tr>
      <w:tr w:rsidR="00DE28D9" w:rsidRPr="00DE28D9" w:rsidTr="00DE28D9">
        <w:tc>
          <w:tcPr>
            <w:tcW w:w="0" w:type="auto"/>
            <w:shd w:val="clear" w:color="auto" w:fill="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T2 lesion volume change (ml)</w:t>
            </w:r>
          </w:p>
        </w:tc>
        <w:tc>
          <w:tcPr>
            <w:tcW w:w="0" w:type="auto"/>
            <w:shd w:val="clear" w:color="auto" w:fill="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0.6 (1.4)</w:t>
            </w:r>
          </w:p>
        </w:tc>
        <w:tc>
          <w:tcPr>
            <w:tcW w:w="0" w:type="auto"/>
            <w:shd w:val="clear" w:color="auto" w:fill="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0.7 (1.1)</w:t>
            </w:r>
          </w:p>
        </w:tc>
        <w:tc>
          <w:tcPr>
            <w:tcW w:w="0" w:type="auto"/>
            <w:shd w:val="clear" w:color="auto" w:fill="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0.2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-0.5–0.8</w:t>
            </w:r>
          </w:p>
        </w:tc>
        <w:tc>
          <w:tcPr>
            <w:tcW w:w="0" w:type="auto"/>
            <w:shd w:val="clear" w:color="auto" w:fill="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0.64</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MTR in lesions at baseline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26.3 (25.2–29.2)</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27.6 (24.0–29.0)</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0.94</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MTR in lesions change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0.4 (1.5)</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0.2 (1.3)</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-0.1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0.8–0.6</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0.80</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proofErr w:type="spellStart"/>
            <w:r w:rsidRPr="00DE28D9">
              <w:rPr>
                <w:rFonts w:ascii="Times New Roman" w:hAnsi="Times New Roman" w:cs="Times New Roman"/>
                <w:bCs/>
                <w:sz w:val="20"/>
                <w:szCs w:val="20"/>
              </w:rPr>
              <w:t>Thalamic</w:t>
            </w:r>
            <w:r w:rsidRPr="00DE28D9">
              <w:rPr>
                <w:rFonts w:ascii="Times New Roman" w:hAnsi="Times New Roman" w:cs="Times New Roman"/>
                <w:bCs/>
                <w:sz w:val="20"/>
                <w:szCs w:val="20"/>
                <w:vertAlign w:val="superscript"/>
              </w:rPr>
              <w:t>d</w:t>
            </w:r>
            <w:proofErr w:type="spellEnd"/>
            <w:r w:rsidRPr="00DE28D9">
              <w:rPr>
                <w:rFonts w:ascii="Times New Roman" w:hAnsi="Times New Roman" w:cs="Times New Roman"/>
                <w:bCs/>
                <w:sz w:val="20"/>
                <w:szCs w:val="20"/>
              </w:rPr>
              <w:t xml:space="preserve"> volume at baseline (ml)</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9.5 (8.9–10.2)</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9.7 (8.9–10.2)</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0.68</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 xml:space="preserve">Thalamic </w:t>
            </w:r>
            <w:proofErr w:type="spellStart"/>
            <w:r w:rsidRPr="00DE28D9">
              <w:rPr>
                <w:rFonts w:ascii="Times New Roman" w:hAnsi="Times New Roman" w:cs="Times New Roman"/>
                <w:bCs/>
                <w:sz w:val="20"/>
                <w:szCs w:val="20"/>
              </w:rPr>
              <w:t>volume</w:t>
            </w:r>
            <w:r w:rsidRPr="00DE28D9">
              <w:rPr>
                <w:rFonts w:ascii="Times New Roman" w:hAnsi="Times New Roman" w:cs="Times New Roman"/>
                <w:bCs/>
                <w:sz w:val="20"/>
                <w:szCs w:val="20"/>
                <w:vertAlign w:val="superscript"/>
              </w:rPr>
              <w:t>e</w:t>
            </w:r>
            <w:proofErr w:type="spellEnd"/>
            <w:r w:rsidRPr="00DE28D9">
              <w:rPr>
                <w:rFonts w:ascii="Times New Roman" w:hAnsi="Times New Roman" w:cs="Times New Roman"/>
                <w:bCs/>
                <w:sz w:val="20"/>
                <w:szCs w:val="20"/>
              </w:rPr>
              <w:t xml:space="preserve"> change (ml)</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0.1 (0.6)</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-0.9 (0.1)</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-0.2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-0.5–0.1</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0.16</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T25FW (average) baseline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5.7 (4.8–7.0)</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6.4 (5.0–8.8)</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0.34</w:t>
            </w:r>
          </w:p>
        </w:tc>
      </w:tr>
      <w:tr w:rsidR="00DE28D9" w:rsidRPr="00DE28D9" w:rsidTr="00DE28D9">
        <w:tc>
          <w:tcPr>
            <w:tcW w:w="0" w:type="auto"/>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T25FW (average) change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-0.1 (1.4)</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0.9 (2.7)</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0.9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-0.0–2.1</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0.12</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9HPT</w:t>
            </w:r>
          </w:p>
        </w:tc>
        <w:tc>
          <w:tcPr>
            <w:tcW w:w="0" w:type="auto"/>
          </w:tcPr>
          <w:p w:rsidR="00DE28D9" w:rsidRPr="00DE28D9" w:rsidRDefault="00DE28D9" w:rsidP="001D247E">
            <w:pPr>
              <w:pStyle w:val="Compact"/>
              <w:rPr>
                <w:rFonts w:ascii="Times New Roman" w:hAnsi="Times New Roman" w:cs="Times New Roman"/>
                <w:sz w:val="20"/>
                <w:szCs w:val="20"/>
              </w:rPr>
            </w:pPr>
          </w:p>
        </w:tc>
        <w:tc>
          <w:tcPr>
            <w:tcW w:w="0" w:type="auto"/>
          </w:tcPr>
          <w:p w:rsidR="00DE28D9" w:rsidRPr="00DE28D9" w:rsidRDefault="00DE28D9" w:rsidP="001D247E">
            <w:pPr>
              <w:pStyle w:val="Compact"/>
              <w:rPr>
                <w:rFonts w:ascii="Times New Roman" w:hAnsi="Times New Roman" w:cs="Times New Roman"/>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Dominant Hand, Average baseline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23.5 (20.8– 26.8)</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26.3 (24.0–32.6)</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0.03</w:t>
            </w:r>
          </w:p>
        </w:tc>
      </w:tr>
      <w:tr w:rsidR="00DE28D9" w:rsidRPr="00DE28D9" w:rsidTr="00DE28D9">
        <w:tc>
          <w:tcPr>
            <w:tcW w:w="0" w:type="auto"/>
          </w:tcPr>
          <w:p w:rsidR="00DE28D9" w:rsidRPr="00DE28D9" w:rsidRDefault="00DE28D9" w:rsidP="001D247E">
            <w:pPr>
              <w:pStyle w:val="Compact"/>
              <w:ind w:left="170"/>
              <w:rPr>
                <w:rFonts w:ascii="Times New Roman" w:hAnsi="Times New Roman" w:cs="Times New Roman"/>
                <w:bCs/>
                <w:sz w:val="20"/>
                <w:szCs w:val="20"/>
              </w:rPr>
            </w:pPr>
            <w:r w:rsidRPr="00DE28D9">
              <w:rPr>
                <w:rFonts w:ascii="Times New Roman" w:hAnsi="Times New Roman" w:cs="Times New Roman"/>
                <w:bCs/>
                <w:sz w:val="20"/>
                <w:szCs w:val="20"/>
              </w:rPr>
              <w:t>Dominant Hand, Average change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1.9 (9)</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-1.4 (6)</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-2.4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-6.6–1.8</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0.26</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Nondominant Hand, Average baseline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25.8 (21.7–33.1)</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25.8 (24.0–28.3)</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0.94</w:t>
            </w:r>
          </w:p>
        </w:tc>
      </w:tr>
      <w:tr w:rsidR="00DE28D9" w:rsidRPr="00DE28D9" w:rsidTr="00DE28D9">
        <w:tc>
          <w:tcPr>
            <w:tcW w:w="0" w:type="auto"/>
          </w:tcPr>
          <w:p w:rsidR="00DE28D9" w:rsidRPr="00DE28D9" w:rsidRDefault="00DE28D9" w:rsidP="001D247E">
            <w:pPr>
              <w:pStyle w:val="Compact"/>
              <w:ind w:left="170"/>
              <w:rPr>
                <w:rFonts w:ascii="Times New Roman" w:hAnsi="Times New Roman" w:cs="Times New Roman"/>
                <w:bCs/>
                <w:sz w:val="20"/>
                <w:szCs w:val="20"/>
              </w:rPr>
            </w:pPr>
            <w:r w:rsidRPr="00DE28D9">
              <w:rPr>
                <w:rFonts w:ascii="Times New Roman" w:hAnsi="Times New Roman" w:cs="Times New Roman"/>
                <w:bCs/>
                <w:sz w:val="20"/>
                <w:szCs w:val="20"/>
              </w:rPr>
              <w:t>Nondominant Hand, Average change (s)</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0.0 (28)</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5 (24)</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4.7 </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-8.8–18.3</w:t>
            </w: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0.49</w:t>
            </w:r>
          </w:p>
        </w:tc>
      </w:tr>
      <w:tr w:rsidR="00DE28D9" w:rsidRPr="00DE28D9" w:rsidTr="00DE28D9">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SDMT baseline</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45.0 (37.8–52.3)</w:t>
            </w:r>
          </w:p>
        </w:tc>
        <w:tc>
          <w:tcPr>
            <w:tcW w:w="0" w:type="auto"/>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39.5 (34.3–46.0)</w:t>
            </w: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p>
        </w:tc>
        <w:tc>
          <w:tcPr>
            <w:tcW w:w="0" w:type="auto"/>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0.17</w:t>
            </w:r>
          </w:p>
        </w:tc>
      </w:tr>
      <w:tr w:rsidR="00DE28D9" w:rsidRPr="00DE28D9" w:rsidTr="00DE28D9">
        <w:tc>
          <w:tcPr>
            <w:tcW w:w="0" w:type="auto"/>
            <w:tcBorders>
              <w:bottom w:val="single" w:sz="4" w:space="0" w:color="auto"/>
            </w:tcBorders>
          </w:tcPr>
          <w:p w:rsidR="00DE28D9" w:rsidRPr="00DE28D9" w:rsidRDefault="00DE28D9" w:rsidP="001D247E">
            <w:pPr>
              <w:pStyle w:val="Compact"/>
              <w:ind w:left="113"/>
              <w:rPr>
                <w:rFonts w:ascii="Times New Roman" w:hAnsi="Times New Roman" w:cs="Times New Roman"/>
                <w:bCs/>
                <w:sz w:val="20"/>
                <w:szCs w:val="20"/>
              </w:rPr>
            </w:pPr>
            <w:r w:rsidRPr="00DE28D9">
              <w:rPr>
                <w:rFonts w:ascii="Times New Roman" w:hAnsi="Times New Roman" w:cs="Times New Roman"/>
                <w:bCs/>
                <w:sz w:val="20"/>
                <w:szCs w:val="20"/>
              </w:rPr>
              <w:t>SDMT change</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3.7 (5.3)</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sz w:val="20"/>
                <w:szCs w:val="20"/>
              </w:rPr>
            </w:pPr>
            <w:r w:rsidRPr="00DE28D9">
              <w:rPr>
                <w:rFonts w:ascii="Times New Roman" w:hAnsi="Times New Roman" w:cs="Times New Roman"/>
                <w:sz w:val="20"/>
                <w:szCs w:val="20"/>
              </w:rPr>
              <w:t>2.5 (6.1)</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 xml:space="preserve">-1.2 </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-4.3–1.9</w:t>
            </w:r>
          </w:p>
        </w:tc>
        <w:tc>
          <w:tcPr>
            <w:tcW w:w="0" w:type="auto"/>
            <w:tcBorders>
              <w:bottom w:val="single" w:sz="4" w:space="0" w:color="auto"/>
            </w:tcBorders>
          </w:tcPr>
          <w:p w:rsidR="00DE28D9" w:rsidRPr="00DE28D9" w:rsidRDefault="00DE28D9" w:rsidP="001D247E">
            <w:pPr>
              <w:pStyle w:val="Compact"/>
              <w:rPr>
                <w:rFonts w:ascii="Times New Roman" w:hAnsi="Times New Roman" w:cs="Times New Roman"/>
                <w:bCs/>
                <w:sz w:val="20"/>
                <w:szCs w:val="20"/>
              </w:rPr>
            </w:pPr>
            <w:r w:rsidRPr="00DE28D9">
              <w:rPr>
                <w:rFonts w:ascii="Times New Roman" w:hAnsi="Times New Roman" w:cs="Times New Roman"/>
                <w:bCs/>
                <w:sz w:val="20"/>
                <w:szCs w:val="20"/>
              </w:rPr>
              <w:t>0.45</w:t>
            </w:r>
          </w:p>
        </w:tc>
      </w:tr>
    </w:tbl>
    <w:p w:rsidR="00DE28D9" w:rsidRPr="00DE28D9" w:rsidRDefault="00DE28D9" w:rsidP="00DE28D9">
      <w:pPr>
        <w:pStyle w:val="Ingenafstand"/>
        <w:rPr>
          <w:rFonts w:ascii="Times New Roman" w:hAnsi="Times New Roman" w:cs="Times New Roman"/>
          <w:sz w:val="20"/>
          <w:szCs w:val="20"/>
          <w:lang w:val="en-US"/>
        </w:rPr>
      </w:pPr>
      <w:r w:rsidRPr="00DE28D9">
        <w:rPr>
          <w:rFonts w:ascii="Times New Roman" w:hAnsi="Times New Roman" w:cs="Times New Roman"/>
          <w:sz w:val="20"/>
          <w:szCs w:val="20"/>
          <w:lang w:val="en-US"/>
        </w:rPr>
        <w:lastRenderedPageBreak/>
        <w:t>Abbreviations: IgG = Immunoglobulin G; FA = fractional anisotropy; NAWM = Normal appearing white matter; MTR = magnetization transfer ratio; T25FW = Timed 25-foot walk; 9HPT = 9-hole peg test; SDMT = Symbol Digit Modalities Test.</w:t>
      </w:r>
    </w:p>
    <w:p w:rsidR="00DE28D9" w:rsidRPr="00DE28D9" w:rsidRDefault="00DE28D9" w:rsidP="00DE28D9">
      <w:pPr>
        <w:pStyle w:val="Ingenafstand"/>
        <w:rPr>
          <w:rFonts w:ascii="Times New Roman" w:hAnsi="Times New Roman" w:cs="Times New Roman"/>
          <w:sz w:val="20"/>
          <w:szCs w:val="20"/>
          <w:lang w:val="en-US"/>
        </w:rPr>
      </w:pPr>
      <w:r w:rsidRPr="00DE28D9">
        <w:rPr>
          <w:rFonts w:ascii="Times New Roman" w:hAnsi="Times New Roman" w:cs="Times New Roman"/>
          <w:sz w:val="20"/>
          <w:szCs w:val="20"/>
          <w:lang w:val="en-US"/>
        </w:rPr>
        <w:t>Selected secondary endpoints. All changes were calculated from screening to week 48. All baseline values are presented ad median with IQR. All differences in changes are presented as mean with standard deviation.</w:t>
      </w:r>
    </w:p>
    <w:p w:rsidR="00DE28D9" w:rsidRPr="00DE28D9" w:rsidRDefault="00DE28D9" w:rsidP="00DE28D9">
      <w:pPr>
        <w:pStyle w:val="Ingenafstand"/>
        <w:rPr>
          <w:rFonts w:ascii="Times New Roman" w:hAnsi="Times New Roman" w:cs="Times New Roman"/>
          <w:sz w:val="20"/>
          <w:szCs w:val="20"/>
          <w:lang w:val="en-US"/>
        </w:rPr>
      </w:pPr>
      <w:proofErr w:type="spellStart"/>
      <w:r w:rsidRPr="00DE28D9">
        <w:rPr>
          <w:rFonts w:ascii="Times New Roman" w:hAnsi="Times New Roman" w:cs="Times New Roman"/>
          <w:sz w:val="20"/>
          <w:szCs w:val="20"/>
          <w:vertAlign w:val="superscript"/>
          <w:lang w:val="en-US"/>
        </w:rPr>
        <w:t>a</w:t>
      </w:r>
      <w:r w:rsidRPr="00DE28D9">
        <w:rPr>
          <w:rFonts w:ascii="Times New Roman" w:hAnsi="Times New Roman" w:cs="Times New Roman"/>
          <w:sz w:val="20"/>
          <w:szCs w:val="20"/>
          <w:lang w:val="en-US"/>
        </w:rPr>
        <w:t>Missing</w:t>
      </w:r>
      <w:proofErr w:type="spellEnd"/>
      <w:r w:rsidRPr="00DE28D9">
        <w:rPr>
          <w:rFonts w:ascii="Times New Roman" w:hAnsi="Times New Roman" w:cs="Times New Roman"/>
          <w:sz w:val="20"/>
          <w:szCs w:val="20"/>
          <w:lang w:val="en-US"/>
        </w:rPr>
        <w:t xml:space="preserve"> values were imputed with multiple imputations (see statistics).</w:t>
      </w:r>
    </w:p>
    <w:p w:rsidR="00DE28D9" w:rsidRPr="00DE28D9" w:rsidRDefault="00DE28D9" w:rsidP="00DE28D9">
      <w:pPr>
        <w:pStyle w:val="Ingenafstand"/>
        <w:rPr>
          <w:rFonts w:ascii="Times New Roman" w:hAnsi="Times New Roman" w:cs="Times New Roman"/>
          <w:sz w:val="20"/>
          <w:szCs w:val="20"/>
          <w:lang w:val="en-US"/>
        </w:rPr>
      </w:pPr>
      <w:proofErr w:type="spellStart"/>
      <w:r w:rsidRPr="00DE28D9">
        <w:rPr>
          <w:rFonts w:ascii="Times New Roman" w:hAnsi="Times New Roman" w:cs="Times New Roman"/>
          <w:sz w:val="20"/>
          <w:szCs w:val="20"/>
          <w:vertAlign w:val="superscript"/>
          <w:lang w:val="en-US"/>
        </w:rPr>
        <w:t>b</w:t>
      </w:r>
      <w:r w:rsidRPr="00DE28D9">
        <w:rPr>
          <w:rFonts w:ascii="Times New Roman" w:hAnsi="Times New Roman" w:cs="Times New Roman"/>
          <w:sz w:val="20"/>
          <w:szCs w:val="20"/>
          <w:lang w:val="en-US"/>
        </w:rPr>
        <w:t>Analyses</w:t>
      </w:r>
      <w:proofErr w:type="spellEnd"/>
      <w:r w:rsidRPr="00DE28D9">
        <w:rPr>
          <w:rFonts w:ascii="Times New Roman" w:hAnsi="Times New Roman" w:cs="Times New Roman"/>
          <w:sz w:val="20"/>
          <w:szCs w:val="20"/>
          <w:lang w:val="en-US"/>
        </w:rPr>
        <w:t xml:space="preserve"> were conducted by use of one-way ANCOVA with screening value as covariate and by use of multiple imputation for missing data. </w:t>
      </w:r>
    </w:p>
    <w:p w:rsidR="00DE28D9" w:rsidRPr="00DE28D9" w:rsidRDefault="00DE28D9" w:rsidP="00DE28D9">
      <w:pPr>
        <w:pStyle w:val="Ingenafstand"/>
        <w:rPr>
          <w:rFonts w:ascii="Times New Roman" w:hAnsi="Times New Roman" w:cs="Times New Roman"/>
          <w:sz w:val="20"/>
          <w:szCs w:val="20"/>
          <w:lang w:val="en-US"/>
        </w:rPr>
      </w:pPr>
      <w:r w:rsidRPr="00DE28D9">
        <w:rPr>
          <w:rFonts w:ascii="Times New Roman" w:hAnsi="Times New Roman" w:cs="Times New Roman"/>
          <w:sz w:val="20"/>
          <w:szCs w:val="20"/>
          <w:vertAlign w:val="superscript"/>
          <w:lang w:val="en-US"/>
        </w:rPr>
        <w:t>c</w:t>
      </w:r>
      <w:r w:rsidRPr="00DE28D9">
        <w:rPr>
          <w:rFonts w:ascii="Times New Roman" w:hAnsi="Times New Roman" w:cs="Times New Roman"/>
          <w:sz w:val="20"/>
          <w:szCs w:val="20"/>
          <w:lang w:val="en-US"/>
        </w:rPr>
        <w:t xml:space="preserve">p-value was calculated from Wilcoxon signed rank test for baseline comparisons </w:t>
      </w:r>
      <w:bookmarkStart w:id="1" w:name="_Hlk39235951"/>
    </w:p>
    <w:bookmarkEnd w:id="1"/>
    <w:p w:rsidR="00DE28D9" w:rsidRPr="00DE28D9" w:rsidRDefault="00DE28D9" w:rsidP="00DE28D9">
      <w:pPr>
        <w:pStyle w:val="Ingenafstand"/>
        <w:rPr>
          <w:rFonts w:ascii="Times New Roman" w:hAnsi="Times New Roman" w:cs="Times New Roman"/>
          <w:sz w:val="20"/>
          <w:szCs w:val="20"/>
          <w:lang w:val="en-US"/>
        </w:rPr>
      </w:pPr>
      <w:proofErr w:type="spellStart"/>
      <w:r w:rsidRPr="00DE28D9">
        <w:rPr>
          <w:rFonts w:ascii="Times New Roman" w:hAnsi="Times New Roman" w:cs="Times New Roman"/>
          <w:sz w:val="20"/>
          <w:szCs w:val="20"/>
          <w:vertAlign w:val="superscript"/>
          <w:lang w:val="en-US"/>
        </w:rPr>
        <w:t>d</w:t>
      </w:r>
      <w:r w:rsidRPr="00DE28D9">
        <w:rPr>
          <w:rFonts w:ascii="Times New Roman" w:hAnsi="Times New Roman" w:cs="Times New Roman"/>
          <w:sz w:val="20"/>
          <w:szCs w:val="20"/>
          <w:lang w:val="en-US"/>
        </w:rPr>
        <w:t>Mean</w:t>
      </w:r>
      <w:proofErr w:type="spellEnd"/>
      <w:r w:rsidRPr="00DE28D9">
        <w:rPr>
          <w:rFonts w:ascii="Times New Roman" w:hAnsi="Times New Roman" w:cs="Times New Roman"/>
          <w:sz w:val="20"/>
          <w:szCs w:val="20"/>
          <w:lang w:val="en-US"/>
        </w:rPr>
        <w:t xml:space="preserve"> of paired thalamic nuclei was used.</w:t>
      </w:r>
    </w:p>
    <w:p w:rsidR="00DE28D9" w:rsidRDefault="00DE28D9" w:rsidP="00DE28D9">
      <w:pPr>
        <w:pStyle w:val="Ingenafstand"/>
        <w:rPr>
          <w:sz w:val="20"/>
          <w:szCs w:val="20"/>
          <w:lang w:val="en-US"/>
        </w:rPr>
      </w:pPr>
    </w:p>
    <w:p w:rsidR="00DE28D9" w:rsidRDefault="00DE28D9" w:rsidP="00DE28D9">
      <w:pPr>
        <w:rPr>
          <w:rFonts w:ascii="Times New Roman" w:hAnsi="Times New Roman" w:cs="Times New Roman"/>
          <w:b/>
          <w:bCs/>
          <w:sz w:val="28"/>
          <w:szCs w:val="28"/>
          <w:lang w:val="en-US"/>
        </w:rPr>
      </w:pPr>
    </w:p>
    <w:p w:rsidR="00C04397" w:rsidRPr="00C04397" w:rsidRDefault="00C04397" w:rsidP="00DE28D9">
      <w:pPr>
        <w:rPr>
          <w:rFonts w:ascii="Times New Roman" w:hAnsi="Times New Roman" w:cs="Times New Roman"/>
          <w:b/>
          <w:bCs/>
          <w:sz w:val="24"/>
          <w:szCs w:val="24"/>
          <w:lang w:val="en-US"/>
        </w:rPr>
      </w:pPr>
      <w:r>
        <w:rPr>
          <w:rFonts w:ascii="Times New Roman" w:hAnsi="Times New Roman" w:cs="Times New Roman"/>
          <w:b/>
          <w:bCs/>
          <w:sz w:val="24"/>
          <w:szCs w:val="24"/>
          <w:lang w:val="en-US"/>
        </w:rPr>
        <w:t>Tertiary efficacy endpoints</w:t>
      </w:r>
    </w:p>
    <w:p w:rsidR="00C04397" w:rsidRDefault="00C04397" w:rsidP="00DE28D9">
      <w:pPr>
        <w:rPr>
          <w:rFonts w:ascii="Times New Roman" w:hAnsi="Times New Roman" w:cs="Times New Roman"/>
          <w:b/>
          <w:bCs/>
          <w:sz w:val="28"/>
          <w:szCs w:val="28"/>
          <w:lang w:val="en-US"/>
        </w:rPr>
      </w:pPr>
    </w:p>
    <w:tbl>
      <w:tblPr>
        <w:tblW w:w="0" w:type="auto"/>
        <w:jc w:val="center"/>
        <w:tblLook w:val="07E0" w:firstRow="1" w:lastRow="1" w:firstColumn="1" w:lastColumn="1" w:noHBand="1" w:noVBand="1"/>
      </w:tblPr>
      <w:tblGrid>
        <w:gridCol w:w="2487"/>
        <w:gridCol w:w="1636"/>
        <w:gridCol w:w="2394"/>
        <w:gridCol w:w="2358"/>
        <w:gridCol w:w="763"/>
      </w:tblGrid>
      <w:tr w:rsidR="00C04397" w:rsidRPr="00C04397" w:rsidTr="00C04397">
        <w:trPr>
          <w:jc w:val="center"/>
        </w:trPr>
        <w:tc>
          <w:tcPr>
            <w:tcW w:w="0" w:type="auto"/>
            <w:tcBorders>
              <w:bottom w:val="single" w:sz="4" w:space="0" w:color="auto"/>
            </w:tcBorders>
            <w:vAlign w:val="bottom"/>
          </w:tcPr>
          <w:p w:rsidR="00C04397" w:rsidRPr="00C04397" w:rsidRDefault="00C04397" w:rsidP="001D247E">
            <w:pPr>
              <w:pStyle w:val="Compact"/>
              <w:rPr>
                <w:rFonts w:ascii="Times New Roman" w:hAnsi="Times New Roman" w:cs="Times New Roman"/>
                <w:sz w:val="20"/>
                <w:szCs w:val="20"/>
                <w:lang w:val="en-GB"/>
              </w:rPr>
            </w:pPr>
          </w:p>
        </w:tc>
        <w:tc>
          <w:tcPr>
            <w:tcW w:w="0" w:type="auto"/>
            <w:tcBorders>
              <w:bottom w:val="single" w:sz="4" w:space="0" w:color="auto"/>
            </w:tcBorders>
            <w:vAlign w:val="bottom"/>
          </w:tcPr>
          <w:p w:rsidR="00C04397" w:rsidRPr="00C04397" w:rsidRDefault="00C04397" w:rsidP="001D247E">
            <w:pPr>
              <w:pStyle w:val="Compact"/>
              <w:rPr>
                <w:rFonts w:ascii="Times New Roman" w:hAnsi="Times New Roman" w:cs="Times New Roman"/>
                <w:b/>
                <w:bCs/>
                <w:sz w:val="20"/>
                <w:szCs w:val="20"/>
                <w:lang w:val="en-GB"/>
              </w:rPr>
            </w:pPr>
            <w:r w:rsidRPr="00C04397">
              <w:rPr>
                <w:rFonts w:ascii="Times New Roman" w:hAnsi="Times New Roman" w:cs="Times New Roman"/>
                <w:b/>
                <w:bCs/>
                <w:sz w:val="20"/>
                <w:szCs w:val="20"/>
                <w:lang w:val="en-GB"/>
              </w:rPr>
              <w:t>PLACEBO (N=24)</w:t>
            </w:r>
          </w:p>
        </w:tc>
        <w:tc>
          <w:tcPr>
            <w:tcW w:w="0" w:type="auto"/>
            <w:tcBorders>
              <w:bottom w:val="single" w:sz="4" w:space="0" w:color="auto"/>
            </w:tcBorders>
            <w:vAlign w:val="bottom"/>
          </w:tcPr>
          <w:p w:rsidR="00C04397" w:rsidRPr="00C04397" w:rsidRDefault="00C04397" w:rsidP="001D247E">
            <w:pPr>
              <w:pStyle w:val="Compact"/>
              <w:rPr>
                <w:rFonts w:ascii="Times New Roman" w:hAnsi="Times New Roman" w:cs="Times New Roman"/>
                <w:b/>
                <w:bCs/>
                <w:sz w:val="20"/>
                <w:szCs w:val="20"/>
                <w:lang w:val="en-GB"/>
              </w:rPr>
            </w:pPr>
            <w:r w:rsidRPr="00C04397">
              <w:rPr>
                <w:rFonts w:ascii="Times New Roman" w:hAnsi="Times New Roman" w:cs="Times New Roman"/>
                <w:b/>
                <w:bCs/>
                <w:sz w:val="20"/>
                <w:szCs w:val="20"/>
                <w:lang w:val="en-GB"/>
              </w:rPr>
              <w:t>DIMETHYL FUMARATE (N=26)</w:t>
            </w:r>
          </w:p>
        </w:tc>
        <w:tc>
          <w:tcPr>
            <w:tcW w:w="0" w:type="auto"/>
            <w:tcBorders>
              <w:bottom w:val="single" w:sz="4" w:space="0" w:color="auto"/>
            </w:tcBorders>
          </w:tcPr>
          <w:p w:rsidR="00C04397" w:rsidRPr="00C04397" w:rsidRDefault="00C04397" w:rsidP="001D247E">
            <w:pPr>
              <w:pStyle w:val="Compact"/>
              <w:rPr>
                <w:rFonts w:ascii="Times New Roman" w:hAnsi="Times New Roman" w:cs="Times New Roman"/>
                <w:b/>
                <w:bCs/>
                <w:sz w:val="20"/>
                <w:szCs w:val="20"/>
                <w:vertAlign w:val="superscript"/>
                <w:lang w:val="en-GB"/>
              </w:rPr>
            </w:pPr>
            <w:r w:rsidRPr="00C04397">
              <w:rPr>
                <w:rFonts w:ascii="Times New Roman" w:hAnsi="Times New Roman" w:cs="Times New Roman"/>
                <w:b/>
                <w:bCs/>
                <w:sz w:val="20"/>
                <w:szCs w:val="20"/>
                <w:lang w:val="en-GB"/>
              </w:rPr>
              <w:t xml:space="preserve">Between-group difference (95% </w:t>
            </w:r>
            <w:proofErr w:type="gramStart"/>
            <w:r w:rsidRPr="00C04397">
              <w:rPr>
                <w:rFonts w:ascii="Times New Roman" w:hAnsi="Times New Roman" w:cs="Times New Roman"/>
                <w:b/>
                <w:bCs/>
                <w:sz w:val="20"/>
                <w:szCs w:val="20"/>
                <w:lang w:val="en-GB"/>
              </w:rPr>
              <w:t>CI)</w:t>
            </w:r>
            <w:r>
              <w:rPr>
                <w:rFonts w:ascii="Times New Roman" w:hAnsi="Times New Roman" w:cs="Times New Roman"/>
                <w:b/>
                <w:bCs/>
                <w:sz w:val="20"/>
                <w:szCs w:val="20"/>
                <w:vertAlign w:val="superscript"/>
                <w:lang w:val="en-GB"/>
              </w:rPr>
              <w:t>a</w:t>
            </w:r>
            <w:proofErr w:type="gramEnd"/>
          </w:p>
        </w:tc>
        <w:tc>
          <w:tcPr>
            <w:tcW w:w="0" w:type="auto"/>
            <w:tcBorders>
              <w:bottom w:val="single" w:sz="4" w:space="0" w:color="auto"/>
            </w:tcBorders>
          </w:tcPr>
          <w:p w:rsidR="00C04397" w:rsidRPr="00C04397" w:rsidRDefault="00C04397" w:rsidP="001D247E">
            <w:pPr>
              <w:pStyle w:val="Compact"/>
              <w:jc w:val="right"/>
              <w:rPr>
                <w:rFonts w:ascii="Times New Roman" w:hAnsi="Times New Roman" w:cs="Times New Roman"/>
                <w:b/>
                <w:bCs/>
                <w:sz w:val="20"/>
                <w:szCs w:val="20"/>
                <w:lang w:val="en-GB"/>
              </w:rPr>
            </w:pPr>
            <w:r w:rsidRPr="00C04397">
              <w:rPr>
                <w:rFonts w:ascii="Times New Roman" w:hAnsi="Times New Roman" w:cs="Times New Roman"/>
                <w:b/>
                <w:bCs/>
                <w:sz w:val="20"/>
                <w:szCs w:val="20"/>
                <w:lang w:val="en-GB"/>
              </w:rPr>
              <w:t>p value</w:t>
            </w:r>
          </w:p>
        </w:tc>
      </w:tr>
      <w:tr w:rsidR="00C04397" w:rsidRPr="00C04397" w:rsidTr="00C04397">
        <w:trPr>
          <w:jc w:val="center"/>
        </w:trPr>
        <w:tc>
          <w:tcPr>
            <w:tcW w:w="0" w:type="auto"/>
            <w:tcBorders>
              <w:top w:val="single" w:sz="4" w:space="0" w:color="auto"/>
            </w:tcBorders>
          </w:tcPr>
          <w:p w:rsidR="00C04397" w:rsidRPr="00C04397" w:rsidRDefault="00C04397" w:rsidP="001D247E">
            <w:pPr>
              <w:pStyle w:val="Compact"/>
              <w:ind w:left="-113"/>
              <w:rPr>
                <w:rFonts w:ascii="Times New Roman" w:hAnsi="Times New Roman" w:cs="Times New Roman"/>
                <w:b/>
                <w:sz w:val="20"/>
                <w:szCs w:val="20"/>
                <w:lang w:val="en-GB"/>
              </w:rPr>
            </w:pPr>
            <w:r w:rsidRPr="00C04397">
              <w:rPr>
                <w:rFonts w:ascii="Times New Roman" w:hAnsi="Times New Roman" w:cs="Times New Roman"/>
                <w:b/>
                <w:sz w:val="20"/>
                <w:szCs w:val="20"/>
                <w:lang w:val="en-GB"/>
              </w:rPr>
              <w:t>Clinical</w:t>
            </w:r>
          </w:p>
        </w:tc>
        <w:tc>
          <w:tcPr>
            <w:tcW w:w="0" w:type="auto"/>
            <w:tcBorders>
              <w:top w:val="single" w:sz="4" w:space="0" w:color="auto"/>
            </w:tcBorders>
          </w:tcPr>
          <w:p w:rsidR="00C04397" w:rsidRPr="00C04397" w:rsidRDefault="00C04397" w:rsidP="001D247E">
            <w:pPr>
              <w:pStyle w:val="Compact"/>
              <w:rPr>
                <w:rFonts w:ascii="Times New Roman" w:hAnsi="Times New Roman" w:cs="Times New Roman"/>
                <w:sz w:val="20"/>
                <w:szCs w:val="20"/>
                <w:lang w:val="en-GB"/>
              </w:rPr>
            </w:pPr>
          </w:p>
        </w:tc>
        <w:tc>
          <w:tcPr>
            <w:tcW w:w="0" w:type="auto"/>
            <w:tcBorders>
              <w:top w:val="single" w:sz="4" w:space="0" w:color="auto"/>
            </w:tcBorders>
          </w:tcPr>
          <w:p w:rsidR="00C04397" w:rsidRPr="00C04397" w:rsidRDefault="00C04397" w:rsidP="001D247E">
            <w:pPr>
              <w:pStyle w:val="Compact"/>
              <w:rPr>
                <w:rFonts w:ascii="Times New Roman" w:hAnsi="Times New Roman" w:cs="Times New Roman"/>
                <w:sz w:val="20"/>
                <w:szCs w:val="20"/>
                <w:lang w:val="en-GB"/>
              </w:rPr>
            </w:pPr>
          </w:p>
        </w:tc>
        <w:tc>
          <w:tcPr>
            <w:tcW w:w="0" w:type="auto"/>
            <w:tcBorders>
              <w:top w:val="single" w:sz="4" w:space="0" w:color="auto"/>
            </w:tcBorders>
          </w:tcPr>
          <w:p w:rsidR="00C04397" w:rsidRPr="00C04397" w:rsidRDefault="00C04397" w:rsidP="001D247E">
            <w:pPr>
              <w:pStyle w:val="Compact"/>
              <w:rPr>
                <w:rFonts w:ascii="Times New Roman" w:hAnsi="Times New Roman" w:cs="Times New Roman"/>
                <w:sz w:val="20"/>
                <w:szCs w:val="20"/>
                <w:lang w:val="en-GB"/>
              </w:rPr>
            </w:pPr>
          </w:p>
        </w:tc>
        <w:tc>
          <w:tcPr>
            <w:tcW w:w="0" w:type="auto"/>
            <w:tcBorders>
              <w:top w:val="single" w:sz="4" w:space="0" w:color="auto"/>
            </w:tcBorders>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Change in BVMT-R</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0.8 (-1.5–3.0)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0.4 (-2.1–2.9)</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-1.0 (-3.8–1.8)</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0.48</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Change in CVLT-II</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1.7 (-2.6–6.0)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1.3 (-1.5–4.2)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-0.6 (-5.2–4.1)</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0.81</w:t>
            </w:r>
          </w:p>
        </w:tc>
      </w:tr>
      <w:tr w:rsidR="00C04397" w:rsidRPr="00C04397" w:rsidTr="00C04397">
        <w:trPr>
          <w:jc w:val="center"/>
        </w:trPr>
        <w:tc>
          <w:tcPr>
            <w:tcW w:w="0" w:type="auto"/>
          </w:tcPr>
          <w:p w:rsidR="00C04397" w:rsidRPr="00C04397" w:rsidRDefault="00C04397" w:rsidP="001D247E">
            <w:pPr>
              <w:pStyle w:val="Compact"/>
              <w:ind w:left="-113"/>
              <w:rPr>
                <w:rFonts w:ascii="Times New Roman" w:hAnsi="Times New Roman" w:cs="Times New Roman"/>
                <w:b/>
                <w:sz w:val="20"/>
                <w:szCs w:val="20"/>
                <w:lang w:val="en-GB"/>
              </w:rPr>
            </w:pPr>
            <w:r w:rsidRPr="00C04397">
              <w:rPr>
                <w:rFonts w:ascii="Times New Roman" w:hAnsi="Times New Roman" w:cs="Times New Roman"/>
                <w:b/>
                <w:sz w:val="20"/>
                <w:szCs w:val="20"/>
                <w:lang w:val="en-GB"/>
              </w:rPr>
              <w:t>MRI related</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352B6C"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vertAlign w:val="superscript"/>
                <w:lang w:val="en-GB"/>
              </w:rPr>
            </w:pPr>
            <w:r w:rsidRPr="00C04397">
              <w:rPr>
                <w:rFonts w:ascii="Times New Roman" w:hAnsi="Times New Roman" w:cs="Times New Roman"/>
                <w:bCs/>
                <w:sz w:val="20"/>
                <w:szCs w:val="20"/>
                <w:lang w:val="en-GB"/>
              </w:rPr>
              <w:t>New Gd-enhancing lesions at week 48</w:t>
            </w:r>
            <w:r>
              <w:rPr>
                <w:rFonts w:ascii="Times New Roman" w:hAnsi="Times New Roman" w:cs="Times New Roman"/>
                <w:bCs/>
                <w:sz w:val="20"/>
                <w:szCs w:val="20"/>
                <w:vertAlign w:val="superscript"/>
                <w:lang w:val="en-GB"/>
              </w:rPr>
              <w:t>b</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20 (90.9%)</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25 (100.0%)</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 (4.5%)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 (0.0%)</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1</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 (4.5%)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 (0.0%)</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vertAlign w:val="superscript"/>
                <w:lang w:val="en-GB"/>
              </w:rPr>
            </w:pPr>
            <w:r w:rsidRPr="00C04397">
              <w:rPr>
                <w:rFonts w:ascii="Times New Roman" w:hAnsi="Times New Roman" w:cs="Times New Roman"/>
                <w:bCs/>
                <w:sz w:val="20"/>
                <w:szCs w:val="20"/>
                <w:lang w:val="en-GB"/>
              </w:rPr>
              <w:t>New lesions at week 48</w:t>
            </w:r>
            <w:r>
              <w:rPr>
                <w:rFonts w:ascii="Times New Roman" w:hAnsi="Times New Roman" w:cs="Times New Roman"/>
                <w:bCs/>
                <w:sz w:val="20"/>
                <w:szCs w:val="20"/>
                <w:vertAlign w:val="superscript"/>
                <w:lang w:val="en-GB"/>
              </w:rPr>
              <w:t>c</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1.2 (0.3–2.1)</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1.2 (0.5–1.9)</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(-0.8–0.6)</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0.75</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vertAlign w:val="superscript"/>
                <w:lang w:val="en-GB"/>
              </w:rPr>
            </w:pPr>
            <w:r w:rsidRPr="00C04397">
              <w:rPr>
                <w:rFonts w:ascii="Times New Roman" w:hAnsi="Times New Roman" w:cs="Times New Roman"/>
                <w:bCs/>
                <w:sz w:val="20"/>
                <w:szCs w:val="20"/>
                <w:lang w:val="en-GB"/>
              </w:rPr>
              <w:t>Enlarged lesions at week 48</w:t>
            </w:r>
            <w:r>
              <w:rPr>
                <w:rFonts w:ascii="Times New Roman" w:hAnsi="Times New Roman" w:cs="Times New Roman"/>
                <w:bCs/>
                <w:sz w:val="20"/>
                <w:szCs w:val="20"/>
                <w:vertAlign w:val="superscript"/>
                <w:lang w:val="en-GB"/>
              </w:rPr>
              <w:t>c</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1.9 (0.9–2.8)</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1.8 (1.0–2.7)</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(-0.6–0.4)</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0.76</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CGM volume (ml)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-0.9 (-5.0–3.2)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-5.6 (-9.8–-1.4)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-3.6 (-8.7–1.6)</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0.17</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NAWM volume (ml)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-0.9 (-6.1–4.4)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-0.9 (-5.2–3.4)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-0.17 (-6.2–5.8)</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0.96</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proofErr w:type="spellStart"/>
            <w:r w:rsidRPr="00C04397">
              <w:rPr>
                <w:rFonts w:ascii="Times New Roman" w:hAnsi="Times New Roman" w:cs="Times New Roman"/>
                <w:bCs/>
                <w:sz w:val="20"/>
                <w:szCs w:val="20"/>
                <w:lang w:val="en-GB"/>
              </w:rPr>
              <w:t>Putamen</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volume (ml)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(0.0–0.2)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(-0.2–0.0)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-0.17 (-0.35–0.02)</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0.08</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MTR in CGM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0.2 (-0.3–0.7)</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(-0.3–0.6)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(-0.6–0.5)</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0.80</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MTR in NAWM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0.3 (-0.2–0.8)</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(-0.4–0.6)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-0.1 (-0.7–0.4)</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0.60</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MTR in </w:t>
            </w:r>
            <w:proofErr w:type="spellStart"/>
            <w:r w:rsidRPr="00C04397">
              <w:rPr>
                <w:rFonts w:ascii="Times New Roman" w:hAnsi="Times New Roman" w:cs="Times New Roman"/>
                <w:bCs/>
                <w:sz w:val="20"/>
                <w:szCs w:val="20"/>
                <w:lang w:val="en-GB"/>
              </w:rPr>
              <w:t>thalamus</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0.3 (-0.2–0.8)</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 (-0.5–0.5)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-0.2 (-0.8–0.4)</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0.53</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MTR in </w:t>
            </w:r>
            <w:proofErr w:type="spellStart"/>
            <w:r w:rsidRPr="00C04397">
              <w:rPr>
                <w:rFonts w:ascii="Times New Roman" w:hAnsi="Times New Roman" w:cs="Times New Roman"/>
                <w:bCs/>
                <w:sz w:val="20"/>
                <w:szCs w:val="20"/>
                <w:lang w:val="en-GB"/>
              </w:rPr>
              <w:t>putamen</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0.4 (-0.2–0.9)</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 (-0.5–0.5)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-0.5 (-1.1–0.2)</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0.14</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MD in CGM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 (-0.01–0.02)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 (-0.01–0.01)</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 (-0.03–0.02)</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0.77</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MD in NAWM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0.001 (-0.008–0.006)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-0.004 (-0.012–0.003)</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0.002 (-0.012–0.016)</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0.77</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MD in </w:t>
            </w:r>
            <w:proofErr w:type="spellStart"/>
            <w:r w:rsidRPr="00C04397">
              <w:rPr>
                <w:rFonts w:ascii="Times New Roman" w:hAnsi="Times New Roman" w:cs="Times New Roman"/>
                <w:bCs/>
                <w:sz w:val="20"/>
                <w:szCs w:val="20"/>
                <w:lang w:val="en-GB"/>
              </w:rPr>
              <w:t>thalamus</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-0.003 (-0.020–0.014)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-0.001 (-0.016–0.014)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0.005 (-0.022–0.031)</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0.72</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MD in </w:t>
            </w:r>
            <w:proofErr w:type="spellStart"/>
            <w:r w:rsidRPr="00C04397">
              <w:rPr>
                <w:rFonts w:ascii="Times New Roman" w:hAnsi="Times New Roman" w:cs="Times New Roman"/>
                <w:bCs/>
                <w:sz w:val="20"/>
                <w:szCs w:val="20"/>
                <w:lang w:val="en-GB"/>
              </w:rPr>
              <w:t>putamen</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0.001 (-0.012–0.014)</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0.016 (0.000–0.032)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0.017 (-0.015–0.048)</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0.29</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MD in lesions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-0.003 (-0.016–0.010)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0.010 (-0.007–0.026)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0.013 (-0.021–0.047)</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0.44</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lastRenderedPageBreak/>
              <w:t xml:space="preserve">FA in CGM change </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-0.000 (-0.004–0.003)</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-0.006 (-0.008–-0.003)</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0.003 (-0.009–0.002)</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0.21</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FA in </w:t>
            </w:r>
            <w:proofErr w:type="spellStart"/>
            <w:r w:rsidRPr="00C04397">
              <w:rPr>
                <w:rFonts w:ascii="Times New Roman" w:hAnsi="Times New Roman" w:cs="Times New Roman"/>
                <w:bCs/>
                <w:sz w:val="20"/>
                <w:szCs w:val="20"/>
                <w:lang w:val="en-GB"/>
              </w:rPr>
              <w:t>thalamus</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0.002 (-0.006–0.009)</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-0.001 (-0.008–0.006)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-0.002 (-0.015–0.010)</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0.68</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 xml:space="preserve">FA in </w:t>
            </w:r>
            <w:proofErr w:type="spellStart"/>
            <w:r w:rsidRPr="00C04397">
              <w:rPr>
                <w:rFonts w:ascii="Times New Roman" w:hAnsi="Times New Roman" w:cs="Times New Roman"/>
                <w:bCs/>
                <w:sz w:val="20"/>
                <w:szCs w:val="20"/>
                <w:lang w:val="en-GB"/>
              </w:rPr>
              <w:t>putamen</w:t>
            </w:r>
            <w:r>
              <w:rPr>
                <w:rFonts w:ascii="Times New Roman" w:hAnsi="Times New Roman" w:cs="Times New Roman"/>
                <w:bCs/>
                <w:sz w:val="20"/>
                <w:szCs w:val="20"/>
                <w:vertAlign w:val="superscript"/>
                <w:lang w:val="en-GB"/>
              </w:rPr>
              <w:t>d</w:t>
            </w:r>
            <w:proofErr w:type="spellEnd"/>
            <w:r w:rsidRPr="00C04397">
              <w:rPr>
                <w:rFonts w:ascii="Times New Roman" w:hAnsi="Times New Roman" w:cs="Times New Roman"/>
                <w:bCs/>
                <w:sz w:val="20"/>
                <w:szCs w:val="20"/>
                <w:lang w:val="en-GB"/>
              </w:rPr>
              <w:t xml:space="preser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-0.007 (-0.025–0.010)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-0.004 (-0.011–0.003)</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-0.004 (-0.036–0.028)</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0.80</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C2 cross-sectional area (mm</w:t>
            </w:r>
            <w:r w:rsidRPr="00C04397">
              <w:rPr>
                <w:rFonts w:ascii="Times New Roman" w:hAnsi="Times New Roman" w:cs="Times New Roman"/>
                <w:bCs/>
                <w:sz w:val="20"/>
                <w:szCs w:val="20"/>
                <w:vertAlign w:val="superscript"/>
                <w:lang w:val="en-GB"/>
              </w:rPr>
              <w:t>2</w:t>
            </w:r>
            <w:r w:rsidRPr="00C04397">
              <w:rPr>
                <w:rFonts w:ascii="Times New Roman" w:hAnsi="Times New Roman" w:cs="Times New Roman"/>
                <w:bCs/>
                <w:sz w:val="20"/>
                <w:szCs w:val="20"/>
                <w:lang w:val="en-GB"/>
              </w:rPr>
              <w:t>)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-0.488 (-1.758–0.782)</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-1.614 (-2.880–-0.348)</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-1.10 (-2.74–0.54)</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0.18</w:t>
            </w:r>
          </w:p>
        </w:tc>
      </w:tr>
      <w:tr w:rsidR="00C04397" w:rsidRPr="00C04397" w:rsidTr="00C04397">
        <w:trPr>
          <w:jc w:val="center"/>
        </w:trPr>
        <w:tc>
          <w:tcPr>
            <w:tcW w:w="0" w:type="auto"/>
            <w:shd w:val="clear" w:color="auto" w:fill="auto"/>
          </w:tcPr>
          <w:p w:rsidR="00C04397" w:rsidRPr="00C04397" w:rsidRDefault="00C04397" w:rsidP="001D247E">
            <w:pPr>
              <w:pStyle w:val="Compact"/>
              <w:ind w:left="-113"/>
              <w:rPr>
                <w:rFonts w:ascii="Times New Roman" w:hAnsi="Times New Roman" w:cs="Times New Roman"/>
                <w:b/>
                <w:sz w:val="20"/>
                <w:szCs w:val="20"/>
                <w:lang w:val="en-GB"/>
              </w:rPr>
            </w:pPr>
            <w:r w:rsidRPr="00C04397">
              <w:rPr>
                <w:rFonts w:ascii="Times New Roman" w:hAnsi="Times New Roman" w:cs="Times New Roman"/>
                <w:b/>
                <w:sz w:val="20"/>
                <w:szCs w:val="20"/>
                <w:lang w:val="en-GB"/>
              </w:rPr>
              <w:t>Self-reported outcomes</w:t>
            </w: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rPr>
                <w:rFonts w:ascii="Times New Roman" w:hAnsi="Times New Roman" w:cs="Times New Roman"/>
                <w:sz w:val="20"/>
                <w:szCs w:val="20"/>
                <w:lang w:val="en-GB"/>
              </w:rPr>
            </w:pP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UDI-6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3.9 (-2.8–10.5)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7.2 (-0.2–14.6)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7.0 (-1.5–15.5)</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0.10</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FSMC Cognitive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0.6 (-2.4–3.6)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0.5 (-3.6–4.6)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0.0 (-3.8–3.9)</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0.99</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FSMC Physical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1.9 (-0.8–4.5)</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0.2 (-4.3–4.6)</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-1.0 (-4.9–2.9)</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0.62</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FSMC Total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2.5 (-2.2–7.1)</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0.7 (-7.6–90)</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-1.0 (-8.2–6.1)</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0.78</w:t>
            </w:r>
          </w:p>
        </w:tc>
      </w:tr>
      <w:tr w:rsidR="00C04397" w:rsidRPr="00C04397" w:rsidTr="00C04397">
        <w:trPr>
          <w:jc w:val="center"/>
        </w:trPr>
        <w:tc>
          <w:tcPr>
            <w:tcW w:w="0" w:type="auto"/>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MSIS-29 Physical change</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-1.1 (-7.5–5.3)</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-1.5 (-7.7–4.7)</w:t>
            </w:r>
          </w:p>
        </w:tc>
        <w:tc>
          <w:tcPr>
            <w:tcW w:w="0" w:type="auto"/>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2.4 (-4.7–9.4)</w:t>
            </w:r>
          </w:p>
        </w:tc>
        <w:tc>
          <w:tcPr>
            <w:tcW w:w="0" w:type="auto"/>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0.50</w:t>
            </w:r>
          </w:p>
        </w:tc>
      </w:tr>
      <w:tr w:rsidR="00C04397" w:rsidRPr="00C04397" w:rsidTr="00C04397">
        <w:trPr>
          <w:jc w:val="center"/>
        </w:trPr>
        <w:tc>
          <w:tcPr>
            <w:tcW w:w="0" w:type="auto"/>
            <w:tcBorders>
              <w:bottom w:val="single" w:sz="4" w:space="0" w:color="auto"/>
            </w:tcBorders>
          </w:tcPr>
          <w:p w:rsidR="00C04397" w:rsidRPr="00C04397" w:rsidRDefault="00C04397" w:rsidP="001D247E">
            <w:pPr>
              <w:pStyle w:val="Compact"/>
              <w:rPr>
                <w:rFonts w:ascii="Times New Roman" w:hAnsi="Times New Roman" w:cs="Times New Roman"/>
                <w:bCs/>
                <w:sz w:val="20"/>
                <w:szCs w:val="20"/>
                <w:lang w:val="en-GB"/>
              </w:rPr>
            </w:pPr>
            <w:r w:rsidRPr="00C04397">
              <w:rPr>
                <w:rFonts w:ascii="Times New Roman" w:hAnsi="Times New Roman" w:cs="Times New Roman"/>
                <w:bCs/>
                <w:sz w:val="20"/>
                <w:szCs w:val="20"/>
                <w:lang w:val="en-GB"/>
              </w:rPr>
              <w:t>MSIS-29 Psychological change</w:t>
            </w:r>
          </w:p>
        </w:tc>
        <w:tc>
          <w:tcPr>
            <w:tcW w:w="0" w:type="auto"/>
            <w:tcBorders>
              <w:bottom w:val="single" w:sz="4" w:space="0" w:color="auto"/>
            </w:tcBorders>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0.3 (-7.6–8.1)</w:t>
            </w:r>
          </w:p>
        </w:tc>
        <w:tc>
          <w:tcPr>
            <w:tcW w:w="0" w:type="auto"/>
            <w:tcBorders>
              <w:bottom w:val="single" w:sz="4" w:space="0" w:color="auto"/>
            </w:tcBorders>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0.8 (-7.0–8.6)</w:t>
            </w:r>
          </w:p>
        </w:tc>
        <w:tc>
          <w:tcPr>
            <w:tcW w:w="0" w:type="auto"/>
            <w:tcBorders>
              <w:bottom w:val="single" w:sz="4" w:space="0" w:color="auto"/>
            </w:tcBorders>
          </w:tcPr>
          <w:p w:rsidR="00C04397" w:rsidRPr="00C04397" w:rsidRDefault="00C04397" w:rsidP="001D247E">
            <w:pPr>
              <w:pStyle w:val="Compact"/>
              <w:rPr>
                <w:rFonts w:ascii="Times New Roman" w:hAnsi="Times New Roman" w:cs="Times New Roman"/>
                <w:sz w:val="20"/>
                <w:szCs w:val="20"/>
                <w:lang w:val="en-GB"/>
              </w:rPr>
            </w:pPr>
            <w:r w:rsidRPr="00C04397">
              <w:rPr>
                <w:rFonts w:ascii="Times New Roman" w:hAnsi="Times New Roman" w:cs="Times New Roman"/>
                <w:sz w:val="20"/>
                <w:szCs w:val="20"/>
                <w:lang w:val="en-GB"/>
              </w:rPr>
              <w:t>0.95 (-12.0–10.1)</w:t>
            </w:r>
          </w:p>
        </w:tc>
        <w:tc>
          <w:tcPr>
            <w:tcW w:w="0" w:type="auto"/>
            <w:tcBorders>
              <w:bottom w:val="single" w:sz="4" w:space="0" w:color="auto"/>
            </w:tcBorders>
          </w:tcPr>
          <w:p w:rsidR="00C04397" w:rsidRPr="00C04397" w:rsidRDefault="00C04397" w:rsidP="001D247E">
            <w:pPr>
              <w:pStyle w:val="Compact"/>
              <w:jc w:val="right"/>
              <w:rPr>
                <w:rFonts w:ascii="Times New Roman" w:hAnsi="Times New Roman" w:cs="Times New Roman"/>
                <w:sz w:val="20"/>
                <w:szCs w:val="20"/>
                <w:lang w:val="en-GB"/>
              </w:rPr>
            </w:pPr>
            <w:r w:rsidRPr="00C04397">
              <w:rPr>
                <w:rFonts w:ascii="Times New Roman" w:hAnsi="Times New Roman" w:cs="Times New Roman"/>
                <w:sz w:val="20"/>
                <w:szCs w:val="20"/>
                <w:lang w:val="en-GB"/>
              </w:rPr>
              <w:t>0.86</w:t>
            </w:r>
          </w:p>
        </w:tc>
      </w:tr>
    </w:tbl>
    <w:p w:rsidR="00C04397" w:rsidRPr="00352B6C" w:rsidRDefault="00C04397" w:rsidP="00C04397">
      <w:pPr>
        <w:pStyle w:val="Ingenafstand"/>
        <w:rPr>
          <w:rFonts w:ascii="Times New Roman" w:hAnsi="Times New Roman" w:cs="Times New Roman"/>
          <w:sz w:val="20"/>
          <w:szCs w:val="20"/>
          <w:lang w:val="en-US"/>
        </w:rPr>
      </w:pPr>
      <w:r w:rsidRPr="00352B6C">
        <w:rPr>
          <w:rFonts w:ascii="Times New Roman" w:hAnsi="Times New Roman" w:cs="Times New Roman"/>
          <w:sz w:val="20"/>
          <w:szCs w:val="20"/>
          <w:lang w:val="en-US"/>
        </w:rPr>
        <w:t>Abbreviations: BVMT-R = Brief Visuospatial Memory Test Revised; CVLT-II = California Verbal Learning Test 2; Gd = Gadolinium; CGM = cortical grey matter; NAWM = normal appearing white matter; MTR = magnetisation transfer ratio; MD = mean diffusivity; FA = fractional anisotropy; C2 = cervical spinal cord level 2; UDI = Urinary Distress Inventory; FSMC = Fatigue Scale for Motor and Cognitive Functions; MSIS-29 = Multiple Sclerosis Impact Scale 29.</w:t>
      </w:r>
    </w:p>
    <w:p w:rsidR="00C04397" w:rsidRPr="00352B6C" w:rsidRDefault="00C04397" w:rsidP="00C04397">
      <w:pPr>
        <w:pStyle w:val="Ingenafstand"/>
        <w:rPr>
          <w:rFonts w:ascii="Times New Roman" w:hAnsi="Times New Roman" w:cs="Times New Roman"/>
          <w:b/>
          <w:bCs/>
          <w:sz w:val="20"/>
          <w:szCs w:val="20"/>
          <w:lang w:val="en-US"/>
        </w:rPr>
      </w:pPr>
      <w:r w:rsidRPr="00352B6C">
        <w:rPr>
          <w:rFonts w:ascii="Times New Roman" w:hAnsi="Times New Roman" w:cs="Times New Roman"/>
          <w:sz w:val="20"/>
          <w:szCs w:val="20"/>
          <w:lang w:val="en-US"/>
        </w:rPr>
        <w:t xml:space="preserve">All changes were calculated from screening to week 48. </w:t>
      </w:r>
      <w:bookmarkStart w:id="2" w:name="_Hlk39236359"/>
    </w:p>
    <w:p w:rsidR="00C04397" w:rsidRPr="00352B6C" w:rsidRDefault="00C04397" w:rsidP="00C04397">
      <w:pPr>
        <w:pStyle w:val="Ingenafstand"/>
        <w:rPr>
          <w:rFonts w:ascii="Times New Roman" w:hAnsi="Times New Roman" w:cs="Times New Roman"/>
          <w:sz w:val="20"/>
          <w:szCs w:val="20"/>
          <w:lang w:val="en-US"/>
        </w:rPr>
      </w:pPr>
      <w:r w:rsidRPr="00352B6C">
        <w:rPr>
          <w:rFonts w:ascii="Times New Roman" w:hAnsi="Times New Roman" w:cs="Times New Roman"/>
          <w:b/>
          <w:bCs/>
          <w:sz w:val="20"/>
          <w:szCs w:val="20"/>
          <w:vertAlign w:val="superscript"/>
          <w:lang w:val="en-US"/>
        </w:rPr>
        <w:t>a</w:t>
      </w:r>
      <w:r w:rsidRPr="00352B6C">
        <w:rPr>
          <w:rFonts w:ascii="Times New Roman" w:hAnsi="Times New Roman" w:cs="Times New Roman"/>
          <w:sz w:val="20"/>
          <w:szCs w:val="20"/>
          <w:lang w:val="en-US"/>
        </w:rPr>
        <w:t xml:space="preserve">Analyses were conducted by use of one-way ANCOVA with screening value as covariate </w:t>
      </w:r>
      <w:bookmarkEnd w:id="2"/>
      <w:r w:rsidRPr="00352B6C">
        <w:rPr>
          <w:rFonts w:ascii="Times New Roman" w:hAnsi="Times New Roman" w:cs="Times New Roman"/>
          <w:sz w:val="20"/>
          <w:szCs w:val="20"/>
          <w:lang w:val="en-US"/>
        </w:rPr>
        <w:t xml:space="preserve">and missing data were handled by use of multiple imputation (see statistics section). </w:t>
      </w:r>
    </w:p>
    <w:p w:rsidR="00C04397" w:rsidRPr="00352B6C" w:rsidRDefault="00C04397" w:rsidP="00C04397">
      <w:pPr>
        <w:pStyle w:val="Ingenafstand"/>
        <w:rPr>
          <w:rFonts w:ascii="Times New Roman" w:hAnsi="Times New Roman" w:cs="Times New Roman"/>
          <w:sz w:val="20"/>
          <w:szCs w:val="20"/>
          <w:lang w:val="en-US"/>
        </w:rPr>
      </w:pPr>
      <w:r w:rsidRPr="00352B6C">
        <w:rPr>
          <w:rFonts w:ascii="Times New Roman" w:hAnsi="Times New Roman" w:cs="Times New Roman"/>
          <w:sz w:val="20"/>
          <w:szCs w:val="20"/>
          <w:vertAlign w:val="superscript"/>
          <w:lang w:val="en-US"/>
        </w:rPr>
        <w:t>b</w:t>
      </w:r>
      <w:r w:rsidRPr="00352B6C">
        <w:rPr>
          <w:rFonts w:ascii="Times New Roman" w:hAnsi="Times New Roman" w:cs="Times New Roman"/>
          <w:sz w:val="20"/>
          <w:szCs w:val="20"/>
          <w:lang w:val="en-US"/>
        </w:rPr>
        <w:t>Due to contraindications 2 participants did not receive contrast at screening and week 48 visit.</w:t>
      </w:r>
    </w:p>
    <w:p w:rsidR="00C04397" w:rsidRPr="00352B6C" w:rsidRDefault="00C04397" w:rsidP="00C04397">
      <w:pPr>
        <w:pStyle w:val="Ingenafstand"/>
        <w:rPr>
          <w:rFonts w:ascii="Times New Roman" w:hAnsi="Times New Roman" w:cs="Times New Roman"/>
          <w:sz w:val="20"/>
          <w:szCs w:val="20"/>
          <w:lang w:val="en-US"/>
        </w:rPr>
      </w:pPr>
      <w:r w:rsidRPr="00352B6C">
        <w:rPr>
          <w:rFonts w:ascii="Times New Roman" w:hAnsi="Times New Roman" w:cs="Times New Roman"/>
          <w:sz w:val="20"/>
          <w:szCs w:val="20"/>
          <w:vertAlign w:val="superscript"/>
          <w:lang w:val="en-US"/>
        </w:rPr>
        <w:t>c</w:t>
      </w:r>
      <w:r w:rsidRPr="00352B6C">
        <w:rPr>
          <w:rFonts w:ascii="Times New Roman" w:hAnsi="Times New Roman" w:cs="Times New Roman"/>
          <w:sz w:val="20"/>
          <w:szCs w:val="20"/>
          <w:lang w:val="en-US"/>
        </w:rPr>
        <w:t xml:space="preserve">Analyses were based on negative binomial regression with number of T2-lesions at screening as covariate. </w:t>
      </w:r>
    </w:p>
    <w:p w:rsidR="00C04397" w:rsidRPr="00352B6C" w:rsidRDefault="00C04397" w:rsidP="00C04397">
      <w:pPr>
        <w:pStyle w:val="Ingenafstand"/>
        <w:rPr>
          <w:rFonts w:ascii="Times New Roman" w:hAnsi="Times New Roman" w:cs="Times New Roman"/>
          <w:sz w:val="20"/>
          <w:szCs w:val="20"/>
          <w:lang w:val="en-US"/>
        </w:rPr>
      </w:pPr>
      <w:r w:rsidRPr="00352B6C">
        <w:rPr>
          <w:rFonts w:ascii="Times New Roman" w:hAnsi="Times New Roman" w:cs="Times New Roman"/>
          <w:bCs/>
          <w:sz w:val="20"/>
          <w:szCs w:val="20"/>
          <w:vertAlign w:val="superscript"/>
          <w:lang w:val="en-US"/>
        </w:rPr>
        <w:t>d</w:t>
      </w:r>
      <w:r w:rsidRPr="00352B6C">
        <w:rPr>
          <w:rFonts w:ascii="Times New Roman" w:hAnsi="Times New Roman" w:cs="Times New Roman"/>
          <w:sz w:val="20"/>
          <w:szCs w:val="20"/>
          <w:lang w:val="en-US"/>
        </w:rPr>
        <w:t xml:space="preserve">Mean of the paired thalamic nuclei or paired putamen nuclei was used, respectively. </w:t>
      </w:r>
    </w:p>
    <w:p w:rsidR="00C04397" w:rsidRPr="00C04397" w:rsidRDefault="00C04397" w:rsidP="00DE28D9">
      <w:pPr>
        <w:rPr>
          <w:rFonts w:ascii="Times New Roman" w:hAnsi="Times New Roman" w:cs="Times New Roman"/>
          <w:b/>
          <w:bCs/>
          <w:sz w:val="28"/>
          <w:szCs w:val="28"/>
          <w:lang w:val="en-GB"/>
        </w:rPr>
      </w:pPr>
    </w:p>
    <w:sectPr w:rsidR="00C04397" w:rsidRPr="00C043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D9"/>
    <w:rsid w:val="00352B6C"/>
    <w:rsid w:val="005C12D8"/>
    <w:rsid w:val="00C04397"/>
    <w:rsid w:val="00DE2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4739F-CCED-477B-84CA-3D32FCE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ct">
    <w:name w:val="Compact"/>
    <w:basedOn w:val="Brdtekst"/>
    <w:qFormat/>
    <w:rsid w:val="00DE28D9"/>
    <w:pPr>
      <w:spacing w:before="36" w:after="36" w:line="240" w:lineRule="auto"/>
    </w:pPr>
    <w:rPr>
      <w:sz w:val="24"/>
      <w:szCs w:val="24"/>
      <w:lang w:val="en-US"/>
    </w:rPr>
  </w:style>
  <w:style w:type="paragraph" w:styleId="Brdtekst">
    <w:name w:val="Body Text"/>
    <w:basedOn w:val="Normal"/>
    <w:link w:val="BrdtekstTegn"/>
    <w:uiPriority w:val="99"/>
    <w:semiHidden/>
    <w:unhideWhenUsed/>
    <w:rsid w:val="00DE28D9"/>
    <w:pPr>
      <w:spacing w:after="120"/>
    </w:pPr>
  </w:style>
  <w:style w:type="character" w:customStyle="1" w:styleId="BrdtekstTegn">
    <w:name w:val="Brødtekst Tegn"/>
    <w:basedOn w:val="Standardskrifttypeiafsnit"/>
    <w:link w:val="Brdtekst"/>
    <w:uiPriority w:val="99"/>
    <w:semiHidden/>
    <w:rsid w:val="00DE28D9"/>
  </w:style>
  <w:style w:type="paragraph" w:styleId="Markeringsbobletekst">
    <w:name w:val="Balloon Text"/>
    <w:basedOn w:val="Normal"/>
    <w:link w:val="MarkeringsbobletekstTegn"/>
    <w:uiPriority w:val="99"/>
    <w:semiHidden/>
    <w:unhideWhenUsed/>
    <w:rsid w:val="00DE28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28D9"/>
    <w:rPr>
      <w:rFonts w:ascii="Segoe UI" w:hAnsi="Segoe UI" w:cs="Segoe UI"/>
      <w:sz w:val="18"/>
      <w:szCs w:val="18"/>
    </w:rPr>
  </w:style>
  <w:style w:type="paragraph" w:styleId="Ingenafstand">
    <w:name w:val="No Spacing"/>
    <w:link w:val="IngenafstandTegn"/>
    <w:uiPriority w:val="1"/>
    <w:qFormat/>
    <w:rsid w:val="00DE28D9"/>
    <w:pPr>
      <w:spacing w:after="0" w:line="240" w:lineRule="auto"/>
    </w:pPr>
    <w:rPr>
      <w:rFonts w:ascii="Arial" w:eastAsia="Arial" w:hAnsi="Arial" w:cs="Arial"/>
      <w:lang w:val="da" w:eastAsia="da-DK"/>
    </w:rPr>
  </w:style>
  <w:style w:type="character" w:customStyle="1" w:styleId="IngenafstandTegn">
    <w:name w:val="Ingen afstand Tegn"/>
    <w:basedOn w:val="Standardskrifttypeiafsnit"/>
    <w:link w:val="Ingenafstand"/>
    <w:uiPriority w:val="1"/>
    <w:rsid w:val="00DE28D9"/>
    <w:rPr>
      <w:rFonts w:ascii="Arial" w:eastAsia="Arial" w:hAnsi="Arial" w:cs="Arial"/>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807</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Højsgaard Chow</dc:creator>
  <cp:keywords/>
  <dc:description/>
  <cp:lastModifiedBy>Finn Thorup Sellebjerg</cp:lastModifiedBy>
  <cp:revision>3</cp:revision>
  <dcterms:created xsi:type="dcterms:W3CDTF">2021-03-17T08:02:00Z</dcterms:created>
  <dcterms:modified xsi:type="dcterms:W3CDTF">2021-04-01T09:34:00Z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http://www.zotero.org/styles/neurology</vt:lpwstr>
  </property>
  <property fmtid="{D5CDD505-2E9C-101B-9397-08002B2CF9AE}" pid="13" name="Mendeley Recent Style Name 5_1">
    <vt:lpwstr>Neurology</vt:lpwstr>
  </property>
  <property fmtid="{D5CDD505-2E9C-101B-9397-08002B2CF9AE}" pid="14" name="Mendeley Recent Style Id 6_1">
    <vt:lpwstr>http://csl.mendeley.com/styles/189139121/neurology-2</vt:lpwstr>
  </property>
  <property fmtid="{D5CDD505-2E9C-101B-9397-08002B2CF9AE}" pid="15" name="Mendeley Recent Style Name 6_1">
    <vt:lpwstr>Neurology - Helene Højsgaard Chow</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https://csl.mendeley.com/styles/189139121/vancouver</vt:lpwstr>
  </property>
  <property fmtid="{D5CDD505-2E9C-101B-9397-08002B2CF9AE}" pid="19" name="Mendeley Recent Style Name 8_1">
    <vt:lpwstr>Vancouver - Helene Højsgaard Chow</vt:lpwstr>
  </property>
  <property fmtid="{D5CDD505-2E9C-101B-9397-08002B2CF9AE}" pid="20" name="Mendeley Recent Style Id 9_1">
    <vt:lpwstr>http://csl.mendeley.com/styles/189139121/vancouver</vt:lpwstr>
  </property>
  <property fmtid="{D5CDD505-2E9C-101B-9397-08002B2CF9AE}" pid="21" name="Mendeley Recent Style Name 9_1">
    <vt:lpwstr>Vancouver - Helene Højsgaard Chow</vt:lpwstr>
  </property>
  <property fmtid="{D5CDD505-2E9C-101B-9397-08002B2CF9AE}" pid="22" name="Mendeley Document_1">
    <vt:lpwstr>True</vt:lpwstr>
  </property>
  <property fmtid="{D5CDD505-2E9C-101B-9397-08002B2CF9AE}" pid="23" name="Mendeley Unique User Id_1">
    <vt:lpwstr>4960f9c5-c526-3061-9a55-484bd38f4e8e</vt:lpwstr>
  </property>
  <property fmtid="{D5CDD505-2E9C-101B-9397-08002B2CF9AE}" pid="24" name="Mendeley Citation Style_1">
    <vt:lpwstr>http://csl.mendeley.com/styles/189139121/vancouver</vt:lpwstr>
  </property>
</Properties>
</file>