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AD" w:rsidRPr="000C2FDB" w:rsidRDefault="00446CAD" w:rsidP="00446CAD">
      <w:pPr>
        <w:spacing w:line="480" w:lineRule="auto"/>
        <w:ind w:left="-284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0C2FDB">
        <w:rPr>
          <w:rFonts w:ascii="Arial" w:hAnsi="Arial" w:cs="Arial"/>
          <w:b/>
          <w:bCs/>
          <w:sz w:val="24"/>
          <w:szCs w:val="24"/>
          <w:highlight w:val="yellow"/>
        </w:rPr>
        <w:t xml:space="preserve">Table </w:t>
      </w:r>
      <w:r w:rsidR="00C540F3" w:rsidRPr="000C2FDB">
        <w:rPr>
          <w:rFonts w:ascii="Arial" w:hAnsi="Arial" w:cs="Arial"/>
          <w:b/>
          <w:bCs/>
          <w:sz w:val="24"/>
          <w:szCs w:val="24"/>
          <w:highlight w:val="yellow"/>
        </w:rPr>
        <w:t>e-</w:t>
      </w:r>
      <w:r w:rsidRPr="000C2FDB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Pr="000C2FDB">
        <w:rPr>
          <w:rFonts w:ascii="Arial" w:hAnsi="Arial" w:cs="Arial"/>
          <w:b/>
          <w:sz w:val="24"/>
          <w:szCs w:val="24"/>
          <w:highlight w:val="yellow"/>
        </w:rPr>
        <w:t>.</w:t>
      </w:r>
      <w:proofErr w:type="gramEnd"/>
      <w:r w:rsidRPr="000C2FDB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proofErr w:type="gramStart"/>
      <w:r w:rsidRPr="000C2FDB">
        <w:rPr>
          <w:rFonts w:ascii="Arial" w:hAnsi="Arial" w:cs="Arial"/>
          <w:sz w:val="24"/>
          <w:szCs w:val="24"/>
          <w:highlight w:val="yellow"/>
        </w:rPr>
        <w:t xml:space="preserve">Demographic and clinical characteristics of patients with </w:t>
      </w:r>
      <w:r w:rsidR="007833BB" w:rsidRPr="000C2FDB">
        <w:rPr>
          <w:rFonts w:ascii="Arial" w:hAnsi="Arial" w:cs="Arial"/>
          <w:sz w:val="24"/>
          <w:szCs w:val="24"/>
          <w:highlight w:val="yellow"/>
        </w:rPr>
        <w:t xml:space="preserve">high and low disability progression </w:t>
      </w:r>
      <w:r w:rsidRPr="000C2FDB">
        <w:rPr>
          <w:rFonts w:ascii="Arial" w:hAnsi="Arial" w:cs="Arial"/>
          <w:sz w:val="24"/>
          <w:szCs w:val="24"/>
          <w:highlight w:val="yellow"/>
        </w:rPr>
        <w:t>belonging to the discovery cohort.</w:t>
      </w:r>
      <w:proofErr w:type="gramEnd"/>
    </w:p>
    <w:tbl>
      <w:tblPr>
        <w:tblpPr w:leftFromText="141" w:rightFromText="141" w:vertAnchor="text" w:horzAnchor="margin" w:tblpX="-136" w:tblpY="225"/>
        <w:tblW w:w="13433" w:type="dxa"/>
        <w:tblBorders>
          <w:top w:val="single" w:sz="12" w:space="0" w:color="000000"/>
          <w:bottom w:val="single" w:sz="12" w:space="0" w:color="000000"/>
        </w:tblBorders>
        <w:tblLayout w:type="fixed"/>
        <w:tblLook w:val="0020"/>
      </w:tblPr>
      <w:tblGrid>
        <w:gridCol w:w="3936"/>
        <w:gridCol w:w="4536"/>
        <w:gridCol w:w="4961"/>
      </w:tblGrid>
      <w:tr w:rsidR="0025551A" w:rsidRPr="000C2FDB" w:rsidTr="0025551A">
        <w:tc>
          <w:tcPr>
            <w:tcW w:w="3936" w:type="dxa"/>
            <w:tcBorders>
              <w:top w:val="single" w:sz="12" w:space="0" w:color="000000"/>
              <w:bottom w:val="nil"/>
            </w:tcBorders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Characteristics</w:t>
            </w:r>
          </w:p>
        </w:tc>
        <w:tc>
          <w:tcPr>
            <w:tcW w:w="4536" w:type="dxa"/>
            <w:tcBorders>
              <w:top w:val="single" w:sz="12" w:space="0" w:color="000000"/>
              <w:bottom w:val="nil"/>
            </w:tcBorders>
          </w:tcPr>
          <w:p w:rsidR="0025551A" w:rsidRPr="000C2FDB" w:rsidRDefault="0025551A" w:rsidP="000C2FDB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 xml:space="preserve">Numeric progression rates </w:t>
            </w:r>
            <w:r w:rsidR="000C2FDB">
              <w:rPr>
                <w:b w:val="0"/>
                <w:bCs w:val="0"/>
                <w:szCs w:val="24"/>
                <w:highlight w:val="yellow"/>
              </w:rPr>
              <w:t>“</w:t>
            </w:r>
            <w:r w:rsidRPr="000C2FDB">
              <w:rPr>
                <w:b w:val="0"/>
                <w:bCs w:val="0"/>
                <w:szCs w:val="24"/>
                <w:highlight w:val="yellow"/>
              </w:rPr>
              <w:t>onset</w:t>
            </w:r>
            <w:r w:rsidR="000C2FDB">
              <w:rPr>
                <w:b w:val="0"/>
                <w:bCs w:val="0"/>
                <w:szCs w:val="24"/>
                <w:highlight w:val="yellow"/>
              </w:rPr>
              <w:t>”</w:t>
            </w:r>
            <w:r w:rsidR="000C2FDB" w:rsidRPr="000C2FDB">
              <w:rPr>
                <w:b w:val="0"/>
                <w:bCs w:val="0"/>
                <w:szCs w:val="24"/>
                <w:highlight w:val="yellow"/>
                <w:vertAlign w:val="superscript"/>
              </w:rPr>
              <w:t>1</w:t>
            </w:r>
          </w:p>
        </w:tc>
        <w:tc>
          <w:tcPr>
            <w:tcW w:w="4961" w:type="dxa"/>
            <w:tcBorders>
              <w:top w:val="single" w:sz="12" w:space="0" w:color="000000"/>
              <w:bottom w:val="nil"/>
            </w:tcBorders>
          </w:tcPr>
          <w:p w:rsidR="0025551A" w:rsidRPr="000C2FDB" w:rsidRDefault="0025551A" w:rsidP="000C2FDB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 xml:space="preserve">Step-based progression rates </w:t>
            </w:r>
            <w:r w:rsidR="000C2FDB">
              <w:rPr>
                <w:b w:val="0"/>
                <w:bCs w:val="0"/>
                <w:szCs w:val="24"/>
                <w:highlight w:val="yellow"/>
              </w:rPr>
              <w:t>“</w:t>
            </w:r>
            <w:r w:rsidRPr="000C2FDB">
              <w:rPr>
                <w:b w:val="0"/>
                <w:bCs w:val="0"/>
                <w:szCs w:val="24"/>
                <w:highlight w:val="yellow"/>
              </w:rPr>
              <w:t>onset</w:t>
            </w:r>
            <w:r w:rsidR="000C2FDB">
              <w:rPr>
                <w:b w:val="0"/>
                <w:bCs w:val="0"/>
                <w:szCs w:val="24"/>
                <w:highlight w:val="yellow"/>
              </w:rPr>
              <w:t>”</w:t>
            </w:r>
            <w:r w:rsidR="000C2FDB" w:rsidRPr="000C2FDB">
              <w:rPr>
                <w:b w:val="0"/>
                <w:bCs w:val="0"/>
                <w:szCs w:val="24"/>
                <w:highlight w:val="yellow"/>
                <w:vertAlign w:val="superscript"/>
              </w:rPr>
              <w:t>1</w:t>
            </w:r>
          </w:p>
        </w:tc>
      </w:tr>
      <w:tr w:rsidR="0025551A" w:rsidRPr="000C2FDB" w:rsidTr="0025551A">
        <w:tc>
          <w:tcPr>
            <w:tcW w:w="3936" w:type="dxa"/>
            <w:tcBorders>
              <w:top w:val="nil"/>
              <w:bottom w:val="single" w:sz="6" w:space="0" w:color="000000"/>
            </w:tcBorders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</w:p>
        </w:tc>
        <w:tc>
          <w:tcPr>
            <w:tcW w:w="4536" w:type="dxa"/>
            <w:tcBorders>
              <w:top w:val="nil"/>
              <w:bottom w:val="single" w:sz="6" w:space="0" w:color="000000"/>
            </w:tcBorders>
          </w:tcPr>
          <w:p w:rsidR="0025551A" w:rsidRPr="000C2FDB" w:rsidRDefault="0025551A" w:rsidP="006424B2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High / Low</w:t>
            </w:r>
          </w:p>
        </w:tc>
        <w:tc>
          <w:tcPr>
            <w:tcW w:w="4961" w:type="dxa"/>
            <w:tcBorders>
              <w:top w:val="nil"/>
              <w:bottom w:val="single" w:sz="6" w:space="0" w:color="000000"/>
            </w:tcBorders>
          </w:tcPr>
          <w:p w:rsidR="0025551A" w:rsidRPr="000C2FDB" w:rsidRDefault="0025551A" w:rsidP="006424B2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High / Low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proofErr w:type="gramStart"/>
            <w:r w:rsidRPr="000C2FDB">
              <w:rPr>
                <w:b w:val="0"/>
                <w:bCs w:val="0"/>
                <w:szCs w:val="24"/>
                <w:highlight w:val="yellow"/>
              </w:rPr>
              <w:t>n</w:t>
            </w:r>
            <w:proofErr w:type="gramEnd"/>
          </w:p>
        </w:tc>
        <w:tc>
          <w:tcPr>
            <w:tcW w:w="4536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7 / </w:t>
            </w:r>
            <w:r w:rsidR="009F2C12" w:rsidRPr="000C2FDB">
              <w:rPr>
                <w:rFonts w:ascii="Arial" w:hAnsi="Arial" w:cs="Arial"/>
                <w:highlight w:val="yellow"/>
                <w:lang w:val="en-GB"/>
              </w:rPr>
              <w:t>21</w:t>
            </w:r>
          </w:p>
        </w:tc>
        <w:tc>
          <w:tcPr>
            <w:tcW w:w="4961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7 / </w:t>
            </w:r>
            <w:r w:rsidR="009F2C12" w:rsidRPr="000C2FDB">
              <w:rPr>
                <w:rFonts w:ascii="Arial" w:hAnsi="Arial" w:cs="Arial"/>
                <w:highlight w:val="yellow"/>
                <w:lang w:val="en-GB"/>
              </w:rPr>
              <w:t>21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Age (years)</w:t>
            </w:r>
          </w:p>
        </w:tc>
        <w:tc>
          <w:tcPr>
            <w:tcW w:w="4536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47.0 (10.3) / </w:t>
            </w:r>
            <w:r w:rsidR="009F2C12" w:rsidRPr="000C2FDB">
              <w:rPr>
                <w:rFonts w:ascii="Arial" w:hAnsi="Arial" w:cs="Arial"/>
                <w:highlight w:val="yellow"/>
                <w:lang w:val="en-GB"/>
              </w:rPr>
              <w:t>49.8 (9.2</w:t>
            </w:r>
            <w:r w:rsidRPr="000C2FDB">
              <w:rPr>
                <w:rFonts w:ascii="Arial" w:hAnsi="Arial" w:cs="Arial"/>
                <w:highlight w:val="yellow"/>
                <w:lang w:val="en-GB"/>
              </w:rPr>
              <w:t>)</w:t>
            </w:r>
          </w:p>
        </w:tc>
        <w:tc>
          <w:tcPr>
            <w:tcW w:w="4961" w:type="dxa"/>
          </w:tcPr>
          <w:p w:rsidR="0025551A" w:rsidRPr="000C2FDB" w:rsidRDefault="00B10D48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>46.4 (10.1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 xml:space="preserve">) / </w:t>
            </w:r>
            <w:r w:rsidR="00D2432B" w:rsidRPr="000C2FDB">
              <w:rPr>
                <w:rFonts w:ascii="Arial" w:hAnsi="Arial" w:cs="Arial"/>
                <w:highlight w:val="yellow"/>
                <w:lang w:val="en-GB"/>
              </w:rPr>
              <w:t>50.0 (9.2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>)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% women</w:t>
            </w:r>
          </w:p>
        </w:tc>
        <w:tc>
          <w:tcPr>
            <w:tcW w:w="4536" w:type="dxa"/>
          </w:tcPr>
          <w:p w:rsidR="0025551A" w:rsidRPr="000C2FDB" w:rsidRDefault="0025551A" w:rsidP="009F2C12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42.9</w:t>
            </w:r>
            <w:r w:rsidR="007721E5" w:rsidRPr="000C2FDB">
              <w:rPr>
                <w:b w:val="0"/>
                <w:bCs w:val="0"/>
                <w:szCs w:val="24"/>
                <w:highlight w:val="yellow"/>
              </w:rPr>
              <w:t xml:space="preserve"> / </w:t>
            </w:r>
            <w:r w:rsidR="009F2C12" w:rsidRPr="000C2FDB">
              <w:rPr>
                <w:b w:val="0"/>
                <w:bCs w:val="0"/>
                <w:szCs w:val="24"/>
                <w:highlight w:val="yellow"/>
              </w:rPr>
              <w:t>42.9</w:t>
            </w:r>
          </w:p>
        </w:tc>
        <w:tc>
          <w:tcPr>
            <w:tcW w:w="4961" w:type="dxa"/>
          </w:tcPr>
          <w:p w:rsidR="0025551A" w:rsidRPr="000C2FDB" w:rsidRDefault="00D2432B" w:rsidP="006424B2">
            <w:pPr>
              <w:pStyle w:val="Ttulo4"/>
              <w:jc w:val="center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28.6 / 47</w:t>
            </w:r>
            <w:r w:rsidR="00B10D48" w:rsidRPr="000C2FDB">
              <w:rPr>
                <w:b w:val="0"/>
                <w:bCs w:val="0"/>
                <w:szCs w:val="24"/>
                <w:highlight w:val="yellow"/>
              </w:rPr>
              <w:t>.</w:t>
            </w:r>
            <w:r w:rsidR="000C2FDB" w:rsidRPr="000C2FDB">
              <w:rPr>
                <w:b w:val="0"/>
                <w:bCs w:val="0"/>
                <w:szCs w:val="24"/>
                <w:highlight w:val="yellow"/>
              </w:rPr>
              <w:t>6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% PP</w:t>
            </w:r>
          </w:p>
        </w:tc>
        <w:tc>
          <w:tcPr>
            <w:tcW w:w="4536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>57.1</w:t>
            </w:r>
            <w:r w:rsidR="009F2C12"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 xml:space="preserve"> / 61</w:t>
            </w:r>
            <w:r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>.</w:t>
            </w:r>
            <w:r w:rsidR="009F2C12"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>9</w:t>
            </w:r>
          </w:p>
        </w:tc>
        <w:tc>
          <w:tcPr>
            <w:tcW w:w="4961" w:type="dxa"/>
          </w:tcPr>
          <w:p w:rsidR="0025551A" w:rsidRPr="000C2FDB" w:rsidRDefault="00D2432B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>42.9 / 66</w:t>
            </w:r>
            <w:r w:rsidR="00B10D48" w:rsidRPr="000C2FDB">
              <w:rPr>
                <w:rFonts w:ascii="Arial" w:hAnsi="Arial" w:cs="Arial"/>
                <w:color w:val="000000"/>
                <w:highlight w:val="yellow"/>
                <w:lang w:val="en-US"/>
              </w:rPr>
              <w:t>.7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Follow-up time (years</w:t>
            </w:r>
            <w:proofErr w:type="gramStart"/>
            <w:r w:rsidRPr="000C2FDB">
              <w:rPr>
                <w:b w:val="0"/>
                <w:bCs w:val="0"/>
                <w:szCs w:val="24"/>
                <w:highlight w:val="yellow"/>
              </w:rPr>
              <w:t>)</w:t>
            </w:r>
            <w:r w:rsidR="000C2FDB">
              <w:rPr>
                <w:b w:val="0"/>
                <w:bCs w:val="0"/>
                <w:szCs w:val="24"/>
                <w:highlight w:val="yellow"/>
                <w:vertAlign w:val="superscript"/>
              </w:rPr>
              <w:t>2</w:t>
            </w:r>
            <w:proofErr w:type="gramEnd"/>
          </w:p>
        </w:tc>
        <w:tc>
          <w:tcPr>
            <w:tcW w:w="4536" w:type="dxa"/>
          </w:tcPr>
          <w:p w:rsidR="0025551A" w:rsidRPr="000C2FDB" w:rsidRDefault="00B10D48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9.3 (5.4) 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 xml:space="preserve">/ </w:t>
            </w:r>
            <w:r w:rsidRPr="000C2FDB">
              <w:rPr>
                <w:rFonts w:ascii="Arial" w:hAnsi="Arial" w:cs="Arial"/>
                <w:highlight w:val="yellow"/>
                <w:lang w:val="en-GB"/>
              </w:rPr>
              <w:t>13.6 (3.7)</w:t>
            </w:r>
          </w:p>
        </w:tc>
        <w:tc>
          <w:tcPr>
            <w:tcW w:w="4961" w:type="dxa"/>
          </w:tcPr>
          <w:p w:rsidR="0025551A" w:rsidRPr="000C2FDB" w:rsidRDefault="00B10D48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>8.6 (5.2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 xml:space="preserve">) / </w:t>
            </w:r>
            <w:r w:rsidRPr="000C2FDB">
              <w:rPr>
                <w:rFonts w:ascii="Arial" w:hAnsi="Arial" w:cs="Arial"/>
                <w:highlight w:val="yellow"/>
                <w:lang w:val="en-GB"/>
              </w:rPr>
              <w:t>13.9 (3.4)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EDSS onset</w:t>
            </w:r>
            <w:r w:rsidR="006577E3">
              <w:rPr>
                <w:b w:val="0"/>
                <w:bCs w:val="0"/>
                <w:szCs w:val="24"/>
                <w:highlight w:val="yellow"/>
                <w:vertAlign w:val="superscript"/>
              </w:rPr>
              <w:t>3</w:t>
            </w:r>
            <w:r w:rsidRPr="000C2FDB">
              <w:rPr>
                <w:b w:val="0"/>
                <w:bCs w:val="0"/>
                <w:szCs w:val="24"/>
                <w:highlight w:val="yellow"/>
              </w:rPr>
              <w:t xml:space="preserve"> </w:t>
            </w:r>
          </w:p>
        </w:tc>
        <w:tc>
          <w:tcPr>
            <w:tcW w:w="4536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4.0 (4.0-6.0) / </w:t>
            </w:r>
            <w:r w:rsidR="009F2C12" w:rsidRPr="000C2FDB">
              <w:rPr>
                <w:rFonts w:ascii="Arial" w:hAnsi="Arial" w:cs="Arial"/>
                <w:highlight w:val="yellow"/>
                <w:lang w:val="en-GB"/>
              </w:rPr>
              <w:t>6.0 (4.5</w:t>
            </w:r>
            <w:r w:rsidR="008E76EE" w:rsidRPr="000C2FDB">
              <w:rPr>
                <w:rFonts w:ascii="Arial" w:hAnsi="Arial" w:cs="Arial"/>
                <w:highlight w:val="yellow"/>
                <w:lang w:val="en-GB"/>
              </w:rPr>
              <w:t>-6.0</w:t>
            </w: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)  </w:t>
            </w:r>
          </w:p>
        </w:tc>
        <w:tc>
          <w:tcPr>
            <w:tcW w:w="4961" w:type="dxa"/>
          </w:tcPr>
          <w:p w:rsidR="0025551A" w:rsidRPr="000C2FDB" w:rsidRDefault="008E76EE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>6</w:t>
            </w:r>
            <w:r w:rsidR="00B10D48" w:rsidRPr="000C2FDB">
              <w:rPr>
                <w:rFonts w:ascii="Arial" w:hAnsi="Arial" w:cs="Arial"/>
                <w:highlight w:val="yellow"/>
                <w:lang w:val="en-GB"/>
              </w:rPr>
              <w:t xml:space="preserve">.0 (4.0-6.0) / 6.0 (4.0-6.0)  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EDSS last</w:t>
            </w:r>
            <w:r w:rsidR="006577E3">
              <w:rPr>
                <w:b w:val="0"/>
                <w:bCs w:val="0"/>
                <w:szCs w:val="24"/>
                <w:highlight w:val="yellow"/>
                <w:vertAlign w:val="superscript"/>
              </w:rPr>
              <w:t>3</w:t>
            </w:r>
          </w:p>
        </w:tc>
        <w:tc>
          <w:tcPr>
            <w:tcW w:w="4536" w:type="dxa"/>
          </w:tcPr>
          <w:p w:rsidR="0025551A" w:rsidRPr="000C2FDB" w:rsidRDefault="0025551A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8.5 (8.0-9.5) / 7.0 (6.5-8.5)  </w:t>
            </w:r>
          </w:p>
        </w:tc>
        <w:tc>
          <w:tcPr>
            <w:tcW w:w="4961" w:type="dxa"/>
          </w:tcPr>
          <w:p w:rsidR="0025551A" w:rsidRPr="000C2FDB" w:rsidRDefault="008E76EE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>9.0 (8.5</w:t>
            </w:r>
            <w:r w:rsidR="00B10D48" w:rsidRPr="000C2FDB">
              <w:rPr>
                <w:rFonts w:ascii="Arial" w:hAnsi="Arial" w:cs="Arial"/>
                <w:highlight w:val="yellow"/>
                <w:lang w:val="en-GB"/>
              </w:rPr>
              <w:t xml:space="preserve">-9.5) / 7.0 (6.5-8.5)  </w:t>
            </w:r>
          </w:p>
        </w:tc>
      </w:tr>
      <w:tr w:rsidR="0025551A" w:rsidRPr="000C2FDB" w:rsidTr="0025551A">
        <w:tc>
          <w:tcPr>
            <w:tcW w:w="3936" w:type="dxa"/>
          </w:tcPr>
          <w:p w:rsidR="0025551A" w:rsidRPr="000C2FDB" w:rsidRDefault="0025551A" w:rsidP="006424B2">
            <w:pPr>
              <w:pStyle w:val="Ttulo4"/>
              <w:rPr>
                <w:b w:val="0"/>
                <w:bCs w:val="0"/>
                <w:szCs w:val="24"/>
                <w:highlight w:val="yellow"/>
              </w:rPr>
            </w:pPr>
            <w:r w:rsidRPr="000C2FDB">
              <w:rPr>
                <w:b w:val="0"/>
                <w:bCs w:val="0"/>
                <w:szCs w:val="24"/>
                <w:highlight w:val="yellow"/>
              </w:rPr>
              <w:t>% treated with IFN</w:t>
            </w:r>
            <w:r w:rsidRPr="000C2FDB">
              <w:rPr>
                <w:b w:val="0"/>
                <w:bCs w:val="0"/>
                <w:szCs w:val="24"/>
                <w:highlight w:val="yellow"/>
              </w:rPr>
              <w:sym w:font="Symbol" w:char="F062"/>
            </w:r>
            <w:r w:rsidR="006577E3">
              <w:rPr>
                <w:b w:val="0"/>
                <w:bCs w:val="0"/>
                <w:szCs w:val="24"/>
                <w:highlight w:val="yellow"/>
                <w:vertAlign w:val="superscript"/>
              </w:rPr>
              <w:t>4</w:t>
            </w:r>
          </w:p>
        </w:tc>
        <w:tc>
          <w:tcPr>
            <w:tcW w:w="4536" w:type="dxa"/>
          </w:tcPr>
          <w:p w:rsidR="0025551A" w:rsidRPr="000C2FDB" w:rsidRDefault="009F2C12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>43.0 / 47.6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</w:p>
        </w:tc>
        <w:tc>
          <w:tcPr>
            <w:tcW w:w="4961" w:type="dxa"/>
          </w:tcPr>
          <w:p w:rsidR="0025551A" w:rsidRPr="000C2FDB" w:rsidRDefault="00B10D48" w:rsidP="006424B2">
            <w:pPr>
              <w:pStyle w:val="Textoindependiente2"/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0C2FDB">
              <w:rPr>
                <w:rFonts w:ascii="Arial" w:hAnsi="Arial" w:cs="Arial"/>
                <w:highlight w:val="yellow"/>
                <w:lang w:val="en-GB"/>
              </w:rPr>
              <w:t xml:space="preserve">28.6 / </w:t>
            </w:r>
            <w:r w:rsidR="0025551A" w:rsidRPr="000C2FDB">
              <w:rPr>
                <w:rFonts w:ascii="Arial" w:hAnsi="Arial" w:cs="Arial"/>
                <w:highlight w:val="yellow"/>
                <w:lang w:val="en-GB"/>
              </w:rPr>
              <w:t>5</w:t>
            </w:r>
            <w:r w:rsidR="00D2432B" w:rsidRPr="000C2FDB">
              <w:rPr>
                <w:rFonts w:ascii="Arial" w:hAnsi="Arial" w:cs="Arial"/>
                <w:highlight w:val="yellow"/>
                <w:lang w:val="en-GB"/>
              </w:rPr>
              <w:t>2.4</w:t>
            </w:r>
            <w:r w:rsidR="0025551A" w:rsidRPr="000C2FDB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46CAD" w:rsidRDefault="00446CAD" w:rsidP="00446CAD">
      <w:pPr>
        <w:pStyle w:val="Ttulo4"/>
        <w:tabs>
          <w:tab w:val="left" w:pos="8222"/>
        </w:tabs>
        <w:jc w:val="both"/>
        <w:rPr>
          <w:b w:val="0"/>
          <w:bCs w:val="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446CAD" w:rsidRDefault="00446CAD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</w:p>
    <w:p w:rsidR="00FE2908" w:rsidRDefault="00FE2908" w:rsidP="00446CAD">
      <w:pPr>
        <w:pStyle w:val="Ttulo4"/>
        <w:spacing w:line="480" w:lineRule="atLeast"/>
        <w:jc w:val="both"/>
        <w:rPr>
          <w:b w:val="0"/>
          <w:bCs w:val="0"/>
          <w:color w:val="000000"/>
          <w:szCs w:val="24"/>
        </w:rPr>
      </w:pPr>
      <w:bookmarkStart w:id="0" w:name="_GoBack"/>
      <w:bookmarkEnd w:id="0"/>
    </w:p>
    <w:p w:rsidR="00446CAD" w:rsidRDefault="000C2FDB" w:rsidP="000D6F25">
      <w:pPr>
        <w:pStyle w:val="Ttulo4"/>
        <w:spacing w:line="480" w:lineRule="atLeast"/>
        <w:ind w:left="-284"/>
        <w:jc w:val="both"/>
        <w:rPr>
          <w:b w:val="0"/>
          <w:bCs w:val="0"/>
          <w:color w:val="000000"/>
          <w:szCs w:val="24"/>
        </w:rPr>
      </w:pPr>
      <w:r w:rsidRPr="006577E3">
        <w:rPr>
          <w:b w:val="0"/>
          <w:bCs w:val="0"/>
          <w:color w:val="000000"/>
          <w:szCs w:val="24"/>
          <w:highlight w:val="yellow"/>
        </w:rPr>
        <w:t>All data are expressed as mean (standard deviation) unless otherwise stated. EDSS is expressed as median (</w:t>
      </w:r>
      <w:proofErr w:type="spellStart"/>
      <w:r w:rsidRPr="006577E3">
        <w:rPr>
          <w:b w:val="0"/>
          <w:bCs w:val="0"/>
          <w:color w:val="000000"/>
          <w:szCs w:val="24"/>
          <w:highlight w:val="yellow"/>
        </w:rPr>
        <w:t>interquartile</w:t>
      </w:r>
      <w:proofErr w:type="spellEnd"/>
      <w:r w:rsidRPr="006577E3">
        <w:rPr>
          <w:b w:val="0"/>
          <w:bCs w:val="0"/>
          <w:color w:val="000000"/>
          <w:szCs w:val="24"/>
          <w:highlight w:val="yellow"/>
        </w:rPr>
        <w:t xml:space="preserve"> range). </w:t>
      </w:r>
      <w:r w:rsidRPr="006577E3">
        <w:rPr>
          <w:b w:val="0"/>
          <w:bCs w:val="0"/>
          <w:szCs w:val="24"/>
          <w:highlight w:val="yellow"/>
          <w:vertAlign w:val="superscript"/>
        </w:rPr>
        <w:t>1</w:t>
      </w:r>
      <w:r w:rsidRPr="006577E3">
        <w:rPr>
          <w:b w:val="0"/>
          <w:bCs w:val="0"/>
          <w:color w:val="000000"/>
          <w:szCs w:val="24"/>
          <w:highlight w:val="yellow"/>
        </w:rPr>
        <w:t xml:space="preserve">Refers to numeric and step-based progression rates calculated from trial onset. </w:t>
      </w:r>
      <w:r w:rsidRPr="006577E3">
        <w:rPr>
          <w:b w:val="0"/>
          <w:bCs w:val="0"/>
          <w:color w:val="000000"/>
          <w:szCs w:val="24"/>
          <w:highlight w:val="yellow"/>
          <w:vertAlign w:val="superscript"/>
        </w:rPr>
        <w:t>2</w:t>
      </w:r>
      <w:r w:rsidRPr="006577E3">
        <w:rPr>
          <w:b w:val="0"/>
          <w:bCs w:val="0"/>
          <w:color w:val="000000"/>
          <w:szCs w:val="24"/>
          <w:highlight w:val="yellow"/>
        </w:rPr>
        <w:t>Refers to time from trial onset to the last visit</w:t>
      </w:r>
      <w:r w:rsidR="006577E3" w:rsidRPr="006577E3">
        <w:rPr>
          <w:b w:val="0"/>
          <w:bCs w:val="0"/>
          <w:color w:val="000000"/>
          <w:szCs w:val="24"/>
          <w:highlight w:val="yellow"/>
        </w:rPr>
        <w:t>.</w:t>
      </w:r>
      <w:r w:rsidRPr="006577E3">
        <w:rPr>
          <w:b w:val="0"/>
          <w:bCs w:val="0"/>
          <w:color w:val="000000"/>
          <w:szCs w:val="24"/>
          <w:highlight w:val="yellow"/>
        </w:rPr>
        <w:t xml:space="preserve"> </w:t>
      </w:r>
      <w:proofErr w:type="gramStart"/>
      <w:r w:rsidRPr="006577E3">
        <w:rPr>
          <w:b w:val="0"/>
          <w:bCs w:val="0"/>
          <w:color w:val="000000"/>
          <w:szCs w:val="24"/>
          <w:highlight w:val="yellow"/>
          <w:vertAlign w:val="superscript"/>
        </w:rPr>
        <w:lastRenderedPageBreak/>
        <w:t>3</w:t>
      </w:r>
      <w:r w:rsidRPr="006577E3">
        <w:rPr>
          <w:b w:val="0"/>
          <w:bCs w:val="0"/>
          <w:color w:val="000000"/>
          <w:szCs w:val="24"/>
          <w:highlight w:val="yellow"/>
        </w:rPr>
        <w:t>Refers to EDSS at trial onset and at the time of last visit</w:t>
      </w:r>
      <w:r w:rsidR="006577E3" w:rsidRPr="006577E3">
        <w:rPr>
          <w:b w:val="0"/>
          <w:bCs w:val="0"/>
          <w:color w:val="000000"/>
          <w:szCs w:val="24"/>
          <w:highlight w:val="yellow"/>
        </w:rPr>
        <w:t>.</w:t>
      </w:r>
      <w:proofErr w:type="gramEnd"/>
      <w:r w:rsidRPr="006577E3">
        <w:rPr>
          <w:b w:val="0"/>
          <w:bCs w:val="0"/>
          <w:color w:val="000000"/>
          <w:szCs w:val="24"/>
          <w:highlight w:val="yellow"/>
        </w:rPr>
        <w:t xml:space="preserve"> </w:t>
      </w:r>
      <w:proofErr w:type="gramStart"/>
      <w:r w:rsidR="006577E3" w:rsidRPr="006577E3">
        <w:rPr>
          <w:b w:val="0"/>
          <w:bCs w:val="0"/>
          <w:szCs w:val="24"/>
          <w:highlight w:val="yellow"/>
          <w:vertAlign w:val="superscript"/>
        </w:rPr>
        <w:t>4</w:t>
      </w:r>
      <w:r w:rsidRPr="006577E3">
        <w:rPr>
          <w:b w:val="0"/>
          <w:bCs w:val="0"/>
          <w:color w:val="000000"/>
          <w:szCs w:val="24"/>
          <w:highlight w:val="yellow"/>
        </w:rPr>
        <w:t>Refers to</w:t>
      </w:r>
      <w:r w:rsidR="006577E3" w:rsidRPr="006577E3">
        <w:rPr>
          <w:b w:val="0"/>
          <w:bCs w:val="0"/>
          <w:color w:val="000000"/>
          <w:szCs w:val="24"/>
          <w:highlight w:val="yellow"/>
        </w:rPr>
        <w:t xml:space="preserve"> % of</w:t>
      </w:r>
      <w:r w:rsidRPr="006577E3">
        <w:rPr>
          <w:b w:val="0"/>
          <w:bCs w:val="0"/>
          <w:color w:val="000000"/>
          <w:szCs w:val="24"/>
          <w:highlight w:val="yellow"/>
        </w:rPr>
        <w:t xml:space="preserve"> patients under IFN</w:t>
      </w:r>
      <w:r w:rsidR="006577E3" w:rsidRPr="006577E3">
        <w:rPr>
          <w:b w:val="0"/>
          <w:bCs w:val="0"/>
          <w:color w:val="000000"/>
          <w:szCs w:val="24"/>
          <w:highlight w:val="yellow"/>
        </w:rPr>
        <w:sym w:font="Symbol" w:char="F062"/>
      </w:r>
      <w:r w:rsidR="006577E3" w:rsidRPr="006577E3">
        <w:rPr>
          <w:b w:val="0"/>
          <w:bCs w:val="0"/>
          <w:color w:val="000000"/>
          <w:szCs w:val="24"/>
          <w:highlight w:val="yellow"/>
        </w:rPr>
        <w:t xml:space="preserve"> </w:t>
      </w:r>
      <w:r w:rsidRPr="006577E3">
        <w:rPr>
          <w:b w:val="0"/>
          <w:bCs w:val="0"/>
          <w:color w:val="000000"/>
          <w:szCs w:val="24"/>
          <w:highlight w:val="yellow"/>
        </w:rPr>
        <w:t>treatment at the time of CSF collection.</w:t>
      </w:r>
      <w:proofErr w:type="gramEnd"/>
      <w:r w:rsidRPr="006577E3">
        <w:rPr>
          <w:b w:val="0"/>
          <w:bCs w:val="0"/>
          <w:color w:val="000000"/>
          <w:szCs w:val="24"/>
          <w:highlight w:val="yellow"/>
        </w:rPr>
        <w:t xml:space="preserve"> EDSS: Expanded Disability Status Scale. IFN</w:t>
      </w:r>
      <w:r w:rsidR="006577E3" w:rsidRPr="006577E3">
        <w:rPr>
          <w:b w:val="0"/>
          <w:bCs w:val="0"/>
          <w:color w:val="000000"/>
          <w:szCs w:val="24"/>
          <w:highlight w:val="yellow"/>
        </w:rPr>
        <w:sym w:font="Symbol" w:char="F062"/>
      </w:r>
      <w:r w:rsidRPr="006577E3">
        <w:rPr>
          <w:b w:val="0"/>
          <w:bCs w:val="0"/>
          <w:color w:val="000000"/>
          <w:szCs w:val="24"/>
          <w:highlight w:val="yellow"/>
        </w:rPr>
        <w:t xml:space="preserve">: interferon beta-1b. </w:t>
      </w:r>
      <w:r w:rsidR="006577E3" w:rsidRPr="006577E3">
        <w:rPr>
          <w:b w:val="0"/>
          <w:bCs w:val="0"/>
          <w:color w:val="000000"/>
          <w:szCs w:val="24"/>
          <w:highlight w:val="yellow"/>
        </w:rPr>
        <w:t xml:space="preserve">%PP: </w:t>
      </w:r>
      <w:r w:rsidRPr="006577E3">
        <w:rPr>
          <w:b w:val="0"/>
          <w:bCs w:val="0"/>
          <w:color w:val="000000"/>
          <w:szCs w:val="24"/>
          <w:highlight w:val="yellow"/>
        </w:rPr>
        <w:t>refers to the</w:t>
      </w:r>
      <w:r w:rsidR="006577E3" w:rsidRPr="006577E3">
        <w:rPr>
          <w:b w:val="0"/>
          <w:bCs w:val="0"/>
          <w:color w:val="000000"/>
          <w:szCs w:val="24"/>
          <w:highlight w:val="yellow"/>
        </w:rPr>
        <w:t xml:space="preserve"> %</w:t>
      </w:r>
      <w:r w:rsidRPr="006577E3">
        <w:rPr>
          <w:b w:val="0"/>
          <w:bCs w:val="0"/>
          <w:color w:val="000000"/>
          <w:szCs w:val="24"/>
          <w:highlight w:val="yellow"/>
        </w:rPr>
        <w:t xml:space="preserve"> of patients with primary progressive MS.</w:t>
      </w:r>
    </w:p>
    <w:sectPr w:rsidR="00446CAD" w:rsidSect="00446C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CAD"/>
    <w:rsid w:val="000C2FDB"/>
    <w:rsid w:val="000D6F25"/>
    <w:rsid w:val="00101228"/>
    <w:rsid w:val="0025551A"/>
    <w:rsid w:val="00312A67"/>
    <w:rsid w:val="00446CAD"/>
    <w:rsid w:val="006424B2"/>
    <w:rsid w:val="006577E3"/>
    <w:rsid w:val="00667FAB"/>
    <w:rsid w:val="007525BF"/>
    <w:rsid w:val="00761E63"/>
    <w:rsid w:val="00767486"/>
    <w:rsid w:val="007721E5"/>
    <w:rsid w:val="007833BB"/>
    <w:rsid w:val="008A24A0"/>
    <w:rsid w:val="008E76EE"/>
    <w:rsid w:val="00991D40"/>
    <w:rsid w:val="009F2C12"/>
    <w:rsid w:val="00A878F6"/>
    <w:rsid w:val="00B10D48"/>
    <w:rsid w:val="00C36F65"/>
    <w:rsid w:val="00C540F3"/>
    <w:rsid w:val="00D2432B"/>
    <w:rsid w:val="00EE3300"/>
    <w:rsid w:val="00FE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tulo4">
    <w:name w:val="heading 4"/>
    <w:basedOn w:val="Normal"/>
    <w:next w:val="Normal"/>
    <w:link w:val="Ttulo4Car"/>
    <w:qFormat/>
    <w:rsid w:val="00446CAD"/>
    <w:pPr>
      <w:keepNext/>
      <w:spacing w:line="480" w:lineRule="auto"/>
      <w:outlineLvl w:val="3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46CAD"/>
    <w:rPr>
      <w:rFonts w:ascii="Arial" w:eastAsia="Times New Roman" w:hAnsi="Arial" w:cs="Arial"/>
      <w:b/>
      <w:bCs/>
      <w:sz w:val="24"/>
      <w:szCs w:val="20"/>
      <w:lang w:val="en-GB" w:eastAsia="es-ES"/>
    </w:rPr>
  </w:style>
  <w:style w:type="paragraph" w:styleId="Textoindependiente2">
    <w:name w:val="Body Text 2"/>
    <w:basedOn w:val="Normal"/>
    <w:link w:val="Textoindependiente2Car"/>
    <w:rsid w:val="00446CAD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46CAD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39FA8-BA2F-481E-8D5E-636B4D0E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2021-04-22T11:47:00Z</dcterms:created>
  <dcterms:modified xsi:type="dcterms:W3CDTF">2021-04-24T07:21:00Z</dcterms:modified>
</cp:coreProperties>
</file>