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1B" w:rsidRPr="00110BB8" w:rsidRDefault="00B6531B" w:rsidP="00B6531B">
      <w:pPr>
        <w:spacing w:after="0" w:line="480" w:lineRule="auto"/>
        <w:rPr>
          <w:rFonts w:ascii="Times New Roman" w:hAnsi="Times New Roman"/>
          <w:lang w:val="en-GB"/>
        </w:rPr>
      </w:pPr>
      <w:r w:rsidRPr="00110BB8">
        <w:rPr>
          <w:rFonts w:ascii="Times New Roman" w:hAnsi="Times New Roman"/>
          <w:b/>
          <w:lang w:val="en-GB"/>
        </w:rPr>
        <w:t>Supplementary Table 1.</w:t>
      </w:r>
      <w:r w:rsidRPr="00110BB8">
        <w:rPr>
          <w:rFonts w:ascii="Times New Roman" w:hAnsi="Times New Roman"/>
          <w:lang w:val="en-GB"/>
        </w:rPr>
        <w:t xml:space="preserve"> </w:t>
      </w:r>
      <w:proofErr w:type="spellStart"/>
      <w:r w:rsidRPr="00110BB8">
        <w:rPr>
          <w:rFonts w:ascii="Times New Roman" w:hAnsi="Times New Roman"/>
          <w:lang w:val="en-GB"/>
        </w:rPr>
        <w:t>sVEGF</w:t>
      </w:r>
      <w:proofErr w:type="spellEnd"/>
      <w:r w:rsidRPr="00110BB8">
        <w:rPr>
          <w:rFonts w:ascii="Times New Roman" w:hAnsi="Times New Roman"/>
          <w:lang w:val="en-GB"/>
        </w:rPr>
        <w:t xml:space="preserve"> concentrations in non-POEMS neuropathy subgroups 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701"/>
      </w:tblGrid>
      <w:tr w:rsidR="00B6531B" w:rsidRPr="00110BB8" w:rsidTr="00DD06BF"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N patients (%)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proofErr w:type="spellStart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 (</w:t>
            </w:r>
            <w:proofErr w:type="spellStart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/mL)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Mean +/- SD</w:t>
            </w:r>
          </w:p>
        </w:tc>
        <w:tc>
          <w:tcPr>
            <w:tcW w:w="1701" w:type="dxa"/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Median [</w:t>
            </w:r>
            <w:proofErr w:type="spellStart"/>
            <w:proofErr w:type="gramStart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min;max</w:t>
            </w:r>
            <w:proofErr w:type="spellEnd"/>
            <w:proofErr w:type="gramEnd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Anti-MAG NP </w:t>
            </w:r>
          </w:p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 xml:space="preserve"> No vasculitis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17 (8.3%)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618 +/- 507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475 [59;1743]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Including 2 anti-MAG + vasculitic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19 (9.2%)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566 +/-503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370 [59;1743]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Vasculitic NP </w:t>
            </w:r>
          </w:p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No Anti-MAG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10 (4.9%)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516 +/- 642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</w:p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359 [54;2261]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i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Including 2 anti-MAG + vasculitic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12 (5.8%)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450 +/-601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309 [54;2261]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Anti-MAG + Vasculitic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2 (1%)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123 +/- 55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- [84;162]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  <w:tl2br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Other inflammatory and </w:t>
            </w:r>
            <w:proofErr w:type="spellStart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paraproteinaemic</w:t>
            </w:r>
            <w:proofErr w:type="spellEnd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 neuropathy</w:t>
            </w:r>
          </w:p>
        </w:tc>
        <w:tc>
          <w:tcPr>
            <w:tcW w:w="1417" w:type="dxa"/>
            <w:tcBorders>
              <w:top w:val="nil"/>
              <w:bottom w:val="nil"/>
              <w:tl2br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33 (16.0%)</w:t>
            </w:r>
          </w:p>
        </w:tc>
        <w:tc>
          <w:tcPr>
            <w:tcW w:w="1276" w:type="dxa"/>
            <w:tcBorders>
              <w:top w:val="nil"/>
              <w:bottom w:val="nil"/>
              <w:tl2br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309 +/-341</w:t>
            </w:r>
          </w:p>
        </w:tc>
        <w:tc>
          <w:tcPr>
            <w:tcW w:w="1701" w:type="dxa"/>
            <w:tcBorders>
              <w:top w:val="nil"/>
              <w:bottom w:val="nil"/>
              <w:tl2br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209 [34;1816]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MMN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right="34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5 (2.4%)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235 +/- 148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190 [68;429]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GBS/AMAN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right="34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7 (3.4%)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230 +/-187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128 [57;522]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Inflammatory Axonal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right="34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6 (2.9%)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280 +/- 222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277 [46;635]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vertAlign w:val="superscript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 xml:space="preserve">Other </w:t>
            </w:r>
            <w:r w:rsidRPr="00110BB8">
              <w:rPr>
                <w:rFonts w:ascii="Times New Roman" w:hAnsi="Times New Roman"/>
                <w:sz w:val="18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right="34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15 (7.3%)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4381 +/-464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267 [34;1816]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Other </w:t>
            </w:r>
            <w:proofErr w:type="spellStart"/>
            <w:proofErr w:type="gramStart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non inflammatory</w:t>
            </w:r>
            <w:proofErr w:type="spellEnd"/>
            <w:proofErr w:type="gramEnd"/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 xml:space="preserve">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55 (26.7%)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261 +/- 278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6"/>
                <w:lang w:val="en-GB"/>
              </w:rPr>
              <w:t>153 [19;1469]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Unknown cause/idiopathic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26 (12.6%)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279 +/-234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226 [34;1091]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Iatrogenic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10 (4.9%)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147 +/-160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82 [28;520]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Diabetic/B12 deficiency/Alcohol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9 (4.4%)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171 +/- 119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153 [48;447]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Hereditary NP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6 (2.9%)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420 +/-549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188 [53;1469]</w:t>
            </w:r>
          </w:p>
        </w:tc>
      </w:tr>
      <w:tr w:rsidR="00B6531B" w:rsidRPr="00110BB8" w:rsidTr="00DD06BF">
        <w:tc>
          <w:tcPr>
            <w:tcW w:w="336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ind w:left="284"/>
              <w:rPr>
                <w:rFonts w:ascii="Times New Roman" w:hAnsi="Times New Roman"/>
                <w:sz w:val="18"/>
                <w:szCs w:val="16"/>
                <w:vertAlign w:val="superscript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 xml:space="preserve">Other </w:t>
            </w:r>
            <w:r w:rsidRPr="00110BB8">
              <w:rPr>
                <w:rFonts w:ascii="Times New Roman" w:hAnsi="Times New Roman"/>
                <w:sz w:val="18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 (1.9 %)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397 +/-408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531B" w:rsidRPr="00110BB8" w:rsidRDefault="00B6531B" w:rsidP="00274BF6">
            <w:pPr>
              <w:spacing w:before="120" w:after="80" w:line="480" w:lineRule="auto"/>
              <w:jc w:val="center"/>
              <w:rPr>
                <w:rFonts w:ascii="Times New Roman" w:hAnsi="Times New Roman"/>
                <w:sz w:val="18"/>
                <w:szCs w:val="16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6"/>
                <w:lang w:val="en-GB"/>
              </w:rPr>
              <w:t>400 [19;768]</w:t>
            </w:r>
          </w:p>
        </w:tc>
      </w:tr>
    </w:tbl>
    <w:p w:rsidR="00B6531B" w:rsidRPr="00110BB8" w:rsidRDefault="00B6531B" w:rsidP="00B6531B">
      <w:pPr>
        <w:spacing w:before="120" w:after="120" w:line="480" w:lineRule="auto"/>
        <w:rPr>
          <w:rFonts w:ascii="Times New Roman" w:hAnsi="Times New Roman"/>
          <w:i/>
          <w:sz w:val="18"/>
          <w:szCs w:val="16"/>
          <w:lang w:val="en-GB"/>
        </w:rPr>
      </w:pPr>
      <w:r w:rsidRPr="00110BB8">
        <w:rPr>
          <w:rFonts w:ascii="Times New Roman" w:hAnsi="Times New Roman"/>
          <w:b/>
          <w:i/>
          <w:sz w:val="18"/>
          <w:szCs w:val="16"/>
          <w:lang w:val="en-GB"/>
        </w:rPr>
        <w:t xml:space="preserve">MMN: </w:t>
      </w:r>
      <w:r w:rsidRPr="00110BB8">
        <w:rPr>
          <w:rFonts w:ascii="Times New Roman" w:hAnsi="Times New Roman"/>
          <w:i/>
          <w:sz w:val="18"/>
          <w:szCs w:val="16"/>
          <w:lang w:val="en-GB"/>
        </w:rPr>
        <w:t>multifocal motor neuropathy;</w:t>
      </w:r>
      <w:r w:rsidRPr="00110BB8">
        <w:rPr>
          <w:rFonts w:ascii="Times New Roman" w:hAnsi="Times New Roman"/>
          <w:b/>
          <w:i/>
          <w:sz w:val="18"/>
          <w:szCs w:val="16"/>
          <w:lang w:val="en-GB"/>
        </w:rPr>
        <w:t xml:space="preserve"> GBS/AMAN : </w:t>
      </w:r>
      <w:proofErr w:type="spellStart"/>
      <w:r w:rsidRPr="00110BB8">
        <w:rPr>
          <w:rFonts w:ascii="Times New Roman" w:hAnsi="Times New Roman"/>
          <w:i/>
          <w:sz w:val="18"/>
          <w:szCs w:val="16"/>
          <w:lang w:val="en-GB"/>
        </w:rPr>
        <w:t>Guillain-Barré</w:t>
      </w:r>
      <w:proofErr w:type="spellEnd"/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 syndrome/acute motor axonal neuropathy ; </w:t>
      </w:r>
      <w:r w:rsidRPr="00110BB8">
        <w:rPr>
          <w:rFonts w:ascii="Times New Roman" w:hAnsi="Times New Roman"/>
          <w:b/>
          <w:i/>
          <w:sz w:val="18"/>
          <w:szCs w:val="16"/>
          <w:lang w:val="en-GB"/>
        </w:rPr>
        <w:t>1:</w:t>
      </w:r>
      <w:r w:rsidRPr="00110BB8">
        <w:rPr>
          <w:rFonts w:ascii="Times New Roman" w:hAnsi="Times New Roman"/>
          <w:sz w:val="18"/>
          <w:szCs w:val="16"/>
          <w:lang w:val="en-GB"/>
        </w:rPr>
        <w:t xml:space="preserve"> </w:t>
      </w:r>
      <w:proofErr w:type="spellStart"/>
      <w:r w:rsidRPr="00110BB8">
        <w:rPr>
          <w:rFonts w:ascii="Times New Roman" w:hAnsi="Times New Roman"/>
          <w:i/>
          <w:sz w:val="18"/>
          <w:szCs w:val="16"/>
          <w:lang w:val="en-GB"/>
        </w:rPr>
        <w:t>paraproteinaemic</w:t>
      </w:r>
      <w:proofErr w:type="spellEnd"/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 neuropathy without anti-MAG Ab (n=3), inflammatory sensory ganglionopathy (n=2), paraneoplastic </w:t>
      </w:r>
      <w:r w:rsidRPr="00110BB8">
        <w:rPr>
          <w:rFonts w:ascii="Times New Roman" w:hAnsi="Times New Roman"/>
          <w:i/>
          <w:sz w:val="18"/>
          <w:szCs w:val="16"/>
          <w:lang w:val="en-GB"/>
        </w:rPr>
        <w:lastRenderedPageBreak/>
        <w:t xml:space="preserve">neuropathy (n=3), inflammatory neuropathy associated with non-Hodgkin’s lymphoma (n=2), inflammatory neuropathy associated with auto-immune connective tissue disorders (n=3), inflammatory small </w:t>
      </w:r>
      <w:proofErr w:type="spellStart"/>
      <w:r w:rsidRPr="00110BB8">
        <w:rPr>
          <w:rFonts w:ascii="Times New Roman" w:hAnsi="Times New Roman"/>
          <w:i/>
          <w:sz w:val="18"/>
          <w:szCs w:val="16"/>
          <w:lang w:val="en-GB"/>
        </w:rPr>
        <w:t>fiber</w:t>
      </w:r>
      <w:proofErr w:type="spellEnd"/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 neuropathy (n=1), AL amyloidosis (n=1) ; </w:t>
      </w:r>
      <w:r w:rsidRPr="00110BB8">
        <w:rPr>
          <w:rFonts w:ascii="Times New Roman" w:hAnsi="Times New Roman"/>
          <w:b/>
          <w:i/>
          <w:sz w:val="18"/>
          <w:szCs w:val="16"/>
          <w:lang w:val="en-GB"/>
        </w:rPr>
        <w:t xml:space="preserve">2: </w:t>
      </w:r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small </w:t>
      </w:r>
      <w:proofErr w:type="spellStart"/>
      <w:r w:rsidRPr="00110BB8">
        <w:rPr>
          <w:rFonts w:ascii="Times New Roman" w:hAnsi="Times New Roman"/>
          <w:i/>
          <w:sz w:val="18"/>
          <w:szCs w:val="16"/>
          <w:lang w:val="en-GB"/>
        </w:rPr>
        <w:t>fiber</w:t>
      </w:r>
      <w:proofErr w:type="spellEnd"/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 and/or autonomic neuropathy (n=3), critical care </w:t>
      </w:r>
      <w:proofErr w:type="spellStart"/>
      <w:r w:rsidRPr="00110BB8">
        <w:rPr>
          <w:rFonts w:ascii="Times New Roman" w:hAnsi="Times New Roman"/>
          <w:i/>
          <w:sz w:val="18"/>
          <w:szCs w:val="16"/>
          <w:lang w:val="en-GB"/>
        </w:rPr>
        <w:t>myoneuropathy</w:t>
      </w:r>
      <w:proofErr w:type="spellEnd"/>
      <w:r w:rsidRPr="00110BB8">
        <w:rPr>
          <w:rFonts w:ascii="Times New Roman" w:hAnsi="Times New Roman"/>
          <w:i/>
          <w:sz w:val="18"/>
          <w:szCs w:val="16"/>
          <w:lang w:val="en-GB"/>
        </w:rPr>
        <w:t xml:space="preserve"> (n=1)</w:t>
      </w:r>
    </w:p>
    <w:p w:rsidR="00B6531B" w:rsidRPr="00110BB8" w:rsidRDefault="00B6531B" w:rsidP="00B6531B">
      <w:pPr>
        <w:spacing w:after="0" w:line="480" w:lineRule="auto"/>
        <w:rPr>
          <w:rFonts w:ascii="Times New Roman" w:hAnsi="Times New Roman"/>
          <w:lang w:val="en-GB"/>
        </w:rPr>
      </w:pPr>
    </w:p>
    <w:p w:rsidR="00B6531B" w:rsidRPr="00110BB8" w:rsidRDefault="00B6531B" w:rsidP="00B6531B">
      <w:pPr>
        <w:spacing w:after="0" w:line="480" w:lineRule="auto"/>
        <w:rPr>
          <w:rFonts w:ascii="Times New Roman" w:hAnsi="Times New Roman"/>
          <w:lang w:val="en-GB"/>
        </w:rPr>
      </w:pPr>
      <w:r w:rsidRPr="00110BB8">
        <w:rPr>
          <w:rFonts w:ascii="Times New Roman" w:hAnsi="Times New Roman"/>
          <w:b/>
          <w:lang w:val="en-GB"/>
        </w:rPr>
        <w:t xml:space="preserve">Supplementary Table 2. </w:t>
      </w:r>
      <w:r w:rsidRPr="00110BB8">
        <w:rPr>
          <w:rFonts w:ascii="Times New Roman" w:hAnsi="Times New Roman"/>
          <w:lang w:val="en-GB"/>
        </w:rPr>
        <w:t xml:space="preserve">Patients with a neuropathy and a raised </w:t>
      </w:r>
      <w:proofErr w:type="spellStart"/>
      <w:r w:rsidRPr="00110BB8">
        <w:rPr>
          <w:rFonts w:ascii="Times New Roman" w:hAnsi="Times New Roman"/>
          <w:lang w:val="en-GB"/>
        </w:rPr>
        <w:t>sVEGF</w:t>
      </w:r>
      <w:proofErr w:type="spellEnd"/>
      <w:r w:rsidRPr="00110BB8">
        <w:rPr>
          <w:rFonts w:ascii="Times New Roman" w:hAnsi="Times New Roman"/>
          <w:lang w:val="en-GB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Case No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Diagnosis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/ml)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117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Anti-MAG neuropathy, IgM MGUS, stable coronary arterial disease, mild asthma, persistent iron deficiency anaemia, stable Barrett's oesophagus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789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55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CIDP, glaucoma, hypertension. (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concentration tested 3 years before was 450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853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Progressive probable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sarcoidosis  with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central and peripheral nervous system involvement, treated with azathioprine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915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176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CIDP, type 2 diabetes, hypertension, peripheral arterial disease, anaemia with low serum iron (chronic inflammation pattern on iron profile)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970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238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Anti-MAG neuropathy, WM, 5 IgM kappa paraproteins, untreated OSAHS, recently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healed  fracture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of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humerus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bone, hypertension, previous renal cell carcinoma in remission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1043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Anti-MAG neuropathy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and  indolent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Waldenström’s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macroglobulinaemia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,  hypothyroidism, benign pancreatic cystadenoma (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concentrations 2 and 7 months earlier were respectively 850 and  928 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1058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100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Inflammatory sensorimotor axonal neuropathy (no evidence of vasculitis) and myopathy, on-going investigations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1091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268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Anti-MAG neuropathy, IgM kappa MGUS, stable coronary artery disease, hypertension, migraine, previous renal cell carcinoma in remission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1259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Anti-MAG neuropathy,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IgM  kappa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MGUS, treated epilepsy  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1289</w:t>
            </w:r>
          </w:p>
        </w:tc>
      </w:tr>
      <w:tr w:rsidR="00B6531B" w:rsidRPr="00110BB8" w:rsidTr="00274BF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233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Hereditary sensory neuropathy, IgG lambda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MGUS,  endometriosis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normochromic normocytic anaemia, uncomplicated  pneumonia  at the time of sampling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1469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142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Anti-MAG neuropathy,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MGUS,  type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diabetes, organizing pneumonitis (treatment started after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testing,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concentration was 1177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 3 months later)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1743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lastRenderedPageBreak/>
              <w:t>114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CIDP-like neuropathy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associated  with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 low grade B-cell non-secreting non-Hodgkin’s lymphoma, persistent anaemia (iron status unknown). (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concentrations 1 month before and 3 months after were elevated at 1434 and 1614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/ml). 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1816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44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Vasculitic neuropathy, previous recurrent thromboembolic events (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was 281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 6 months earlier)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2261</w:t>
            </w:r>
          </w:p>
        </w:tc>
      </w:tr>
      <w:tr w:rsidR="00B6531B" w:rsidRPr="00110BB8" w:rsidTr="00274BF6">
        <w:tc>
          <w:tcPr>
            <w:tcW w:w="709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145</w:t>
            </w:r>
          </w:p>
        </w:tc>
        <w:tc>
          <w:tcPr>
            <w:tcW w:w="7513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CIDP, type 2 diabetes, hypertension, folate deficiency, severe obstructive sleep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apnea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syndrome with pulmonary hypertension. (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concentrations tested 12 and 15 months later were 1480 and 2164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/ml)</w:t>
            </w:r>
          </w:p>
        </w:tc>
        <w:tc>
          <w:tcPr>
            <w:tcW w:w="1134" w:type="dxa"/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2443</w:t>
            </w:r>
          </w:p>
        </w:tc>
      </w:tr>
      <w:tr w:rsidR="00B6531B" w:rsidRPr="00110BB8" w:rsidTr="00274BF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81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CIDP, iron deficiency </w:t>
            </w:r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anaemia ,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mild asthma. (</w:t>
            </w:r>
            <w:proofErr w:type="spellStart"/>
            <w:proofErr w:type="gram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sVEGF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progressively</w:t>
            </w:r>
            <w:proofErr w:type="gram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decreased with iron supplementation down to 800 </w:t>
            </w:r>
            <w:proofErr w:type="spellStart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pg</w:t>
            </w:r>
            <w:proofErr w:type="spellEnd"/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/ml)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531B" w:rsidRPr="00110BB8" w:rsidRDefault="00B6531B" w:rsidP="00DD06BF">
            <w:pPr>
              <w:autoSpaceDE w:val="0"/>
              <w:autoSpaceDN w:val="0"/>
              <w:adjustRightInd w:val="0"/>
              <w:spacing w:before="120" w:after="0" w:line="48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2616</w:t>
            </w:r>
          </w:p>
        </w:tc>
      </w:tr>
    </w:tbl>
    <w:p w:rsidR="00B6531B" w:rsidRPr="00110BB8" w:rsidRDefault="00B6531B" w:rsidP="00B6531B">
      <w:pPr>
        <w:spacing w:after="0" w:line="480" w:lineRule="auto"/>
        <w:rPr>
          <w:rFonts w:ascii="Times New Roman" w:hAnsi="Times New Roman"/>
          <w:lang w:val="en-GB"/>
        </w:rPr>
      </w:pPr>
    </w:p>
    <w:p w:rsidR="00B6531B" w:rsidRPr="00110BB8" w:rsidRDefault="00B6531B" w:rsidP="00B6531B">
      <w:pPr>
        <w:spacing w:after="0" w:line="480" w:lineRule="auto"/>
        <w:rPr>
          <w:rFonts w:ascii="Times New Roman" w:hAnsi="Times New Roman"/>
          <w:lang w:val="en-GB"/>
        </w:rPr>
      </w:pPr>
      <w:r w:rsidRPr="00110BB8">
        <w:rPr>
          <w:rFonts w:ascii="Times New Roman" w:hAnsi="Times New Roman"/>
          <w:b/>
          <w:lang w:val="en-GB"/>
        </w:rPr>
        <w:t>Supplementary Table 3.</w:t>
      </w:r>
      <w:r w:rsidRPr="00110BB8">
        <w:rPr>
          <w:rFonts w:ascii="Times New Roman" w:hAnsi="Times New Roman"/>
          <w:lang w:val="en-GB"/>
        </w:rPr>
        <w:t xml:space="preserve"> </w:t>
      </w:r>
      <w:r w:rsidRPr="00110BB8">
        <w:rPr>
          <w:rFonts w:ascii="Times New Roman" w:hAnsi="Times New Roman"/>
          <w:bCs/>
          <w:lang w:val="en-GB"/>
        </w:rPr>
        <w:t>Variables assessed for their predictive value in the multiple regression models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09"/>
      </w:tblGrid>
      <w:tr w:rsidR="00B6531B" w:rsidRPr="00110BB8" w:rsidTr="00DD06BF">
        <w:tc>
          <w:tcPr>
            <w:tcW w:w="4786" w:type="dxa"/>
            <w:tcBorders>
              <w:top w:val="nil"/>
              <w:left w:val="nil"/>
              <w:bottom w:val="single" w:sz="4" w:space="0" w:color="000000"/>
            </w:tcBorders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nil"/>
            </w:tcBorders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Non-POEMS Neuropathy</w:t>
            </w:r>
          </w:p>
        </w:tc>
        <w:tc>
          <w:tcPr>
            <w:tcW w:w="709" w:type="dxa"/>
            <w:tcBorders>
              <w:bottom w:val="nil"/>
            </w:tcBorders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6531B" w:rsidRPr="00110BB8" w:rsidTr="00DD06BF">
        <w:trPr>
          <w:trHeight w:val="166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CIDP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51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Anti-MAG neuropathy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19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Vasculitic neuropathy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Other inflammatory and </w:t>
            </w:r>
            <w:proofErr w:type="spell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paraproteinaemic</w:t>
            </w:r>
            <w:proofErr w:type="spell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neuropathy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33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Other</w:t>
            </w:r>
            <w:proofErr w:type="gram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non-inflammatory neuropathy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55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Haematological diseases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MGUS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67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Multiple myeloma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42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Waldenström</w:t>
            </w:r>
            <w:proofErr w:type="spell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Macroglobulinaemia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Non-Hodgkin’s Lymphoma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Other haematological malignancy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59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lastRenderedPageBreak/>
              <w:t>Endocrinopathy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Diabetes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Other endocrinopathy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Anaemia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Anaemia with normal serum iron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32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Anaemia with low serum iron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6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Other neurological diseases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26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Chronic inflammatory diseases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23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Benign </w:t>
            </w:r>
            <w:proofErr w:type="spell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tumors</w:t>
            </w:r>
            <w:proofErr w:type="spellEnd"/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17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Dyslipidaemia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</w:tr>
      <w:tr w:rsidR="00B6531B" w:rsidRPr="00110BB8" w:rsidTr="00DD06BF">
        <w:tc>
          <w:tcPr>
            <w:tcW w:w="4786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Hypoxaemic</w:t>
            </w:r>
            <w:proofErr w:type="spell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diseases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6531B" w:rsidRPr="00110BB8" w:rsidTr="00DD06BF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Obstructive sleep apnoea-hypopnoea syndrome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</w:tr>
      <w:tr w:rsidR="00B6531B" w:rsidRPr="00110BB8" w:rsidTr="00DD06BF">
        <w:tc>
          <w:tcPr>
            <w:tcW w:w="4786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ind w:left="567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Chronic obstructive pulmonary disease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7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Ischaemic diseases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Non ischaemic</w:t>
            </w:r>
            <w:proofErr w:type="gram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heart diseases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Asthma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11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Solid cancers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Chronic  kidney</w:t>
            </w:r>
            <w:proofErr w:type="gramEnd"/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disease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8</w:t>
            </w:r>
          </w:p>
        </w:tc>
      </w:tr>
      <w:tr w:rsidR="00B6531B" w:rsidRPr="00110BB8" w:rsidTr="00DD06BF">
        <w:tc>
          <w:tcPr>
            <w:tcW w:w="4786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709" w:type="dxa"/>
            <w:vAlign w:val="bottom"/>
          </w:tcPr>
          <w:p w:rsidR="00B6531B" w:rsidRPr="00110BB8" w:rsidRDefault="00B6531B" w:rsidP="00DD06BF">
            <w:pPr>
              <w:spacing w:before="120" w:after="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43</w:t>
            </w:r>
          </w:p>
        </w:tc>
      </w:tr>
    </w:tbl>
    <w:p w:rsidR="00831B44" w:rsidRPr="00110BB8" w:rsidRDefault="008159F4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DD06BF">
      <w:pPr>
        <w:rPr>
          <w:lang w:val="en-GB"/>
        </w:rPr>
      </w:pPr>
    </w:p>
    <w:p w:rsidR="00110BB8" w:rsidRPr="00110BB8" w:rsidRDefault="00110BB8" w:rsidP="0011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10B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Supplementary table 4</w:t>
      </w:r>
      <w:r w:rsidR="0066441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bookmarkStart w:id="0" w:name="_GoBack"/>
      <w:bookmarkEnd w:id="0"/>
      <w:r w:rsidRPr="00110B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110B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Clinical features of patients with anaemia, low serum iron and raised </w:t>
      </w:r>
      <w:proofErr w:type="spellStart"/>
      <w:r w:rsidRPr="00110BB8">
        <w:rPr>
          <w:rFonts w:ascii="Times New Roman" w:eastAsia="Times New Roman" w:hAnsi="Times New Roman" w:cs="Times New Roman"/>
          <w:sz w:val="24"/>
          <w:szCs w:val="24"/>
          <w:lang w:val="en-GB"/>
        </w:rPr>
        <w:t>sVEGF</w:t>
      </w:r>
      <w:proofErr w:type="spellEnd"/>
      <w:r w:rsidRPr="00110B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871"/>
        <w:gridCol w:w="1705"/>
        <w:gridCol w:w="2525"/>
        <w:gridCol w:w="1635"/>
      </w:tblGrid>
      <w:tr w:rsidR="00110BB8" w:rsidRPr="00110BB8" w:rsidTr="000073F3">
        <w:tc>
          <w:tcPr>
            <w:tcW w:w="1375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Case</w:t>
            </w:r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Diagnosis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Monoclonal paraprotein</w:t>
            </w:r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sVEGF</w:t>
            </w:r>
            <w:proofErr w:type="spellEnd"/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pg</w:t>
            </w:r>
            <w:proofErr w:type="spellEnd"/>
            <w:r w:rsidRPr="0011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/ml)</w:t>
            </w:r>
          </w:p>
        </w:tc>
      </w:tr>
      <w:tr w:rsidR="00110BB8" w:rsidRPr="006F058A" w:rsidTr="000073F3">
        <w:tc>
          <w:tcPr>
            <w:tcW w:w="1375" w:type="dxa"/>
          </w:tcPr>
          <w:p w:rsidR="00110BB8" w:rsidRPr="006F058A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54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CIDP: weakness and sensory loss to hands and feet and facial weakness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Steroids, IVIG, rituximab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970</w:t>
            </w:r>
          </w:p>
        </w:tc>
      </w:tr>
      <w:tr w:rsidR="00110BB8" w:rsidRPr="006F058A" w:rsidTr="000073F3">
        <w:tc>
          <w:tcPr>
            <w:tcW w:w="1375" w:type="dxa"/>
          </w:tcPr>
          <w:p w:rsidR="00110BB8" w:rsidRPr="006F058A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119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CIDP: sensory predominant to ankles and elbows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IgG Kappa</w:t>
            </w:r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IVIG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320</w:t>
            </w:r>
          </w:p>
        </w:tc>
      </w:tr>
      <w:tr w:rsidR="00110BB8" w:rsidRPr="006F058A" w:rsidTr="000073F3">
        <w:tc>
          <w:tcPr>
            <w:tcW w:w="1375" w:type="dxa"/>
          </w:tcPr>
          <w:p w:rsidR="00110BB8" w:rsidRPr="006F058A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174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Polymyositis, peripheral nerve vasculitis, myelodysplastic syndrome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IgA Kappa</w:t>
            </w:r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Azathioprine, Mycophenolate Mofetil, Cyclophosphamide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341</w:t>
            </w:r>
          </w:p>
        </w:tc>
      </w:tr>
      <w:tr w:rsidR="00110BB8" w:rsidRPr="006F058A" w:rsidTr="000073F3">
        <w:tc>
          <w:tcPr>
            <w:tcW w:w="1375" w:type="dxa"/>
          </w:tcPr>
          <w:p w:rsidR="00110BB8" w:rsidRPr="006F058A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168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Acute CIDP: recurrent episodes generalised weakness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Plasma exchange, IVIG, steroids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2616</w:t>
            </w:r>
          </w:p>
        </w:tc>
      </w:tr>
      <w:tr w:rsidR="00110BB8" w:rsidRPr="006F058A" w:rsidTr="000073F3">
        <w:tc>
          <w:tcPr>
            <w:tcW w:w="1375" w:type="dxa"/>
          </w:tcPr>
          <w:p w:rsidR="00110BB8" w:rsidRPr="006F058A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F05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189</w:t>
            </w:r>
          </w:p>
        </w:tc>
        <w:tc>
          <w:tcPr>
            <w:tcW w:w="1910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Anti-MAG neuropathy: upper limb tremor, ankle weakness</w:t>
            </w:r>
          </w:p>
        </w:tc>
        <w:tc>
          <w:tcPr>
            <w:tcW w:w="1726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IgM Kappa</w:t>
            </w:r>
          </w:p>
        </w:tc>
        <w:tc>
          <w:tcPr>
            <w:tcW w:w="2598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Rituximab</w:t>
            </w:r>
          </w:p>
        </w:tc>
        <w:tc>
          <w:tcPr>
            <w:tcW w:w="1687" w:type="dxa"/>
          </w:tcPr>
          <w:p w:rsidR="00110BB8" w:rsidRPr="00110BB8" w:rsidRDefault="00110BB8" w:rsidP="0000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10BB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789</w:t>
            </w:r>
          </w:p>
        </w:tc>
      </w:tr>
    </w:tbl>
    <w:p w:rsidR="00110BB8" w:rsidRPr="006F058A" w:rsidRDefault="00110BB8" w:rsidP="00DD06BF">
      <w:pPr>
        <w:rPr>
          <w:lang w:val="en-GB"/>
        </w:rPr>
      </w:pPr>
    </w:p>
    <w:sectPr w:rsidR="00110BB8" w:rsidRPr="006F05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F4" w:rsidRDefault="008159F4" w:rsidP="00DD06BF">
      <w:pPr>
        <w:spacing w:after="0" w:line="240" w:lineRule="auto"/>
      </w:pPr>
      <w:r>
        <w:separator/>
      </w:r>
    </w:p>
  </w:endnote>
  <w:endnote w:type="continuationSeparator" w:id="0">
    <w:p w:rsidR="008159F4" w:rsidRDefault="008159F4" w:rsidP="00DD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F4" w:rsidRDefault="008159F4" w:rsidP="00DD06BF">
      <w:pPr>
        <w:spacing w:after="0" w:line="240" w:lineRule="auto"/>
      </w:pPr>
      <w:r>
        <w:separator/>
      </w:r>
    </w:p>
  </w:footnote>
  <w:footnote w:type="continuationSeparator" w:id="0">
    <w:p w:rsidR="008159F4" w:rsidRDefault="008159F4" w:rsidP="00DD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6BF" w:rsidRDefault="00DD06BF" w:rsidP="00DD06BF">
    <w:pPr>
      <w:pStyle w:val="Header"/>
      <w:jc w:val="right"/>
      <w:rPr>
        <w:rFonts w:ascii="Times New Roman" w:hAnsi="Times New Roman" w:cs="Times New Roman"/>
        <w:sz w:val="24"/>
      </w:rPr>
    </w:pPr>
    <w:r w:rsidRPr="00DD06BF">
      <w:rPr>
        <w:rFonts w:ascii="Times New Roman" w:hAnsi="Times New Roman" w:cs="Times New Roman"/>
        <w:sz w:val="24"/>
      </w:rPr>
      <w:fldChar w:fldCharType="begin"/>
    </w:r>
    <w:r w:rsidRPr="00DD06BF">
      <w:rPr>
        <w:rFonts w:ascii="Times New Roman" w:hAnsi="Times New Roman" w:cs="Times New Roman"/>
        <w:sz w:val="24"/>
      </w:rPr>
      <w:instrText>PAGE   \* MERGEFORMAT</w:instrText>
    </w:r>
    <w:r w:rsidRPr="00DD06BF">
      <w:rPr>
        <w:rFonts w:ascii="Times New Roman" w:hAnsi="Times New Roman" w:cs="Times New Roman"/>
        <w:sz w:val="24"/>
      </w:rPr>
      <w:fldChar w:fldCharType="separate"/>
    </w:r>
    <w:r w:rsidR="00664414">
      <w:rPr>
        <w:rFonts w:ascii="Times New Roman" w:hAnsi="Times New Roman" w:cs="Times New Roman"/>
        <w:noProof/>
        <w:sz w:val="24"/>
      </w:rPr>
      <w:t>4</w:t>
    </w:r>
    <w:r w:rsidRPr="00DD06BF">
      <w:rPr>
        <w:rFonts w:ascii="Times New Roman" w:hAnsi="Times New Roman" w:cs="Times New Roman"/>
        <w:sz w:val="24"/>
      </w:rPr>
      <w:fldChar w:fldCharType="end"/>
    </w:r>
  </w:p>
  <w:p w:rsidR="00DD06BF" w:rsidRPr="00DD06BF" w:rsidRDefault="00DD06BF" w:rsidP="00DD06BF">
    <w:pPr>
      <w:pStyle w:val="Header"/>
      <w:jc w:val="right"/>
      <w:rPr>
        <w:rFonts w:ascii="Times New Roman" w:hAnsi="Times New Roman" w:cs="Times New Roman"/>
        <w:sz w:val="24"/>
      </w:rPr>
    </w:pPr>
    <w:proofErr w:type="spellStart"/>
    <w:r w:rsidRPr="00DD06BF">
      <w:rPr>
        <w:rFonts w:ascii="Times New Roman" w:hAnsi="Times New Roman" w:cs="Times New Roman"/>
        <w:sz w:val="24"/>
      </w:rPr>
      <w:t>Supplementary</w:t>
    </w:r>
    <w:proofErr w:type="spellEnd"/>
    <w:r w:rsidRPr="00DD06BF">
      <w:rPr>
        <w:rFonts w:ascii="Times New Roman" w:hAnsi="Times New Roman" w:cs="Times New Roman"/>
        <w:sz w:val="24"/>
      </w:rPr>
      <w:t xml:space="preserve"> Data</w:t>
    </w:r>
  </w:p>
  <w:p w:rsidR="00DD06BF" w:rsidRDefault="00DD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B"/>
    <w:rsid w:val="00110BB8"/>
    <w:rsid w:val="00124F61"/>
    <w:rsid w:val="00664414"/>
    <w:rsid w:val="006F058A"/>
    <w:rsid w:val="008159F4"/>
    <w:rsid w:val="00B50684"/>
    <w:rsid w:val="00B6531B"/>
    <w:rsid w:val="00B714BF"/>
    <w:rsid w:val="00CC4718"/>
    <w:rsid w:val="00DD06BF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F803"/>
  <w15:docId w15:val="{3508E12A-5E6F-4656-9A26-5D8F6CE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6531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531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D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BF"/>
  </w:style>
  <w:style w:type="paragraph" w:styleId="Footer">
    <w:name w:val="footer"/>
    <w:basedOn w:val="Normal"/>
    <w:link w:val="FooterChar"/>
    <w:uiPriority w:val="99"/>
    <w:unhideWhenUsed/>
    <w:rsid w:val="00DD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BF"/>
  </w:style>
  <w:style w:type="table" w:styleId="TableGrid">
    <w:name w:val="Table Grid"/>
    <w:basedOn w:val="TableNormal"/>
    <w:uiPriority w:val="39"/>
    <w:rsid w:val="00110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Morgane</dc:creator>
  <cp:lastModifiedBy>Keddie, Stephen</cp:lastModifiedBy>
  <cp:revision>3</cp:revision>
  <dcterms:created xsi:type="dcterms:W3CDTF">2017-11-02T16:31:00Z</dcterms:created>
  <dcterms:modified xsi:type="dcterms:W3CDTF">2017-11-02T16:31:00Z</dcterms:modified>
</cp:coreProperties>
</file>