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58" w:type="dxa"/>
        <w:tblLayout w:type="fixed"/>
        <w:tblLook w:val="04A0" w:firstRow="1" w:lastRow="0" w:firstColumn="1" w:lastColumn="0" w:noHBand="0" w:noVBand="1"/>
      </w:tblPr>
      <w:tblGrid>
        <w:gridCol w:w="603"/>
        <w:gridCol w:w="715"/>
        <w:gridCol w:w="54"/>
        <w:gridCol w:w="1175"/>
        <w:gridCol w:w="197"/>
        <w:gridCol w:w="908"/>
        <w:gridCol w:w="992"/>
        <w:gridCol w:w="974"/>
        <w:gridCol w:w="2664"/>
        <w:gridCol w:w="1276"/>
        <w:gridCol w:w="898"/>
        <w:gridCol w:w="709"/>
        <w:gridCol w:w="1417"/>
        <w:gridCol w:w="3676"/>
      </w:tblGrid>
      <w:tr w:rsidR="00CA31E7" w:rsidRPr="00477C7D" w:rsidTr="00CA31E7">
        <w:tc>
          <w:tcPr>
            <w:tcW w:w="1372" w:type="dxa"/>
            <w:gridSpan w:val="3"/>
            <w:tcBorders>
              <w:bottom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4" w:type="dxa"/>
            <w:gridSpan w:val="9"/>
            <w:tcBorders>
              <w:bottom w:val="single" w:sz="4" w:space="0" w:color="auto"/>
            </w:tcBorders>
          </w:tcPr>
          <w:p w:rsidR="00CA31E7" w:rsidRPr="00477C7D" w:rsidRDefault="00A74D96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Supplementary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table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Demographic</w:t>
            </w:r>
            <w:proofErr w:type="spellEnd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clinical</w:t>
            </w:r>
            <w:proofErr w:type="spellEnd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features</w:t>
            </w:r>
            <w:proofErr w:type="spellEnd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CA31E7"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patients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Sex</w:t>
            </w:r>
            <w:proofErr w:type="spellEnd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Sequence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Timing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Eyes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Attacks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</w:t>
            </w:r>
            <w:proofErr w:type="spellEnd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Edema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Uveitis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Recovery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76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bookmarkEnd w:id="0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(2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0.70-0.0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(LE):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-0.70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 0.60-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0.20-0.0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LP-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1.0-0.0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1.0-0.0;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76" w:rsidRPr="006A4D76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="006A4D76" w:rsidRPr="006A4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6A4D76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A31E7"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ON=BD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A31E7"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4503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(1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 0.50-0.40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0.50-0.40;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 0.40-0.50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5A3DE1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5A3DE1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="00082CCD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</w:p>
          <w:p w:rsidR="00CA31E7" w:rsidRPr="005A3DE1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 </w:t>
            </w:r>
            <w:proofErr w:type="spellStart"/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 0.40-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0.0-1.0;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amaurosis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due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uveitis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(NPL?)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F/38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(LE)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RE-LE;  0.50-0.10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both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 2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(LE):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RE-LE; 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-0.50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0.1-0.0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82CCD"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5A3D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 1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(RE):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Finger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count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(CF ) 1m-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0.50-0.0;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F/48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-0.70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0.0-0.70;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F/55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(BE)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RE-LE; 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-1.0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0.2-1.0;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6A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BD=ON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(RE) 1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RE-LE; 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-1.0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0.1-0.4;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CTS+ CSA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both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F/49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A6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082CCD" w:rsidRPr="00C61E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61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6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r w:rsidR="004C2E7C" w:rsidRPr="00C61EA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C61E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-1.0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0.0-0.2; 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6A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ON=BD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-1.0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0.0-0.1;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ON 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-0.70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0.0-0.1;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(BE)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(BON)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-0.2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0.70-0.0;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 CS+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CSA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F/34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CC6F6A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  <w:r w:rsidR="00CC6F6A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years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-0.0 (final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vision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M/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6A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ON=BD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(LE)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-1.0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0.0-0.2;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6A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ON=BD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(BE) 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Vision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-0.2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0.0-0.0; 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colchicine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CTX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+ CS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F/26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6A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CC6F6A" w:rsidRDefault="00CC6F6A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CA31E7"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ON=BD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(RE)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Vision</w:t>
            </w:r>
            <w:proofErr w:type="spell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-0.0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0.2-0.0;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AZA+CS+TNF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F/16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6A" w:rsidRPr="00CC6F6A" w:rsidRDefault="00CC6F6A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CC6F6A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(ON=BD)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(BE)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-0.0; 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Combined</w:t>
            </w:r>
            <w:proofErr w:type="spellEnd"/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(AZA+CS)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  <w:tr w:rsidR="00CA31E7" w:rsidRPr="00477C7D" w:rsidTr="00CA31E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F/24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6A" w:rsidRPr="00CC6F6A" w:rsidRDefault="00CC6F6A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</w:t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E0"/>
            </w: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BD</w:t>
            </w:r>
          </w:p>
          <w:p w:rsidR="00CA31E7" w:rsidRPr="00477C7D" w:rsidRDefault="00CC6F6A" w:rsidP="00CC6F6A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(ON=BD)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(LE)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(LE): </w:t>
            </w:r>
            <w:proofErr w:type="gram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proofErr w:type="gramEnd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-0.7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E0"/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0.0-0.2; </w:t>
            </w:r>
          </w:p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NeuroBD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AZA+CS+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IFN</w:t>
            </w:r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7" w:rsidRPr="00477C7D" w:rsidRDefault="00CA31E7" w:rsidP="00650878">
            <w:pPr>
              <w:spacing w:after="16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C7D">
              <w:rPr>
                <w:rFonts w:ascii="Times New Roman" w:eastAsia="Calibri" w:hAnsi="Times New Roman" w:cs="Times New Roman"/>
                <w:sz w:val="24"/>
                <w:szCs w:val="24"/>
              </w:rPr>
              <w:t>Recovery</w:t>
            </w:r>
            <w:proofErr w:type="spellEnd"/>
          </w:p>
        </w:tc>
      </w:tr>
    </w:tbl>
    <w:p w:rsidR="00477C7D" w:rsidRPr="00477C7D" w:rsidRDefault="00477C7D" w:rsidP="00650878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C7D" w:rsidRPr="00477C7D" w:rsidRDefault="00477C7D" w:rsidP="00650878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Features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patients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diagnosed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optic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neuritis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associated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Behçet’s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disease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. Visual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acuity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been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represented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terms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logMar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scale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Arrow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visual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acuities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represents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transition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first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visual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acuity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final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visual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acuity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C7D" w:rsidRPr="00477C7D" w:rsidRDefault="00477C7D" w:rsidP="00650878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C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FF0973">
        <w:rPr>
          <w:rFonts w:ascii="Times New Roman" w:eastAsia="Calibri" w:hAnsi="Times New Roman" w:cs="Times New Roman"/>
          <w:sz w:val="24"/>
          <w:szCs w:val="24"/>
        </w:rPr>
        <w:t>(</w:t>
      </w:r>
      <w:r w:rsidR="00DB2B24" w:rsidRPr="00FF0973">
        <w:rPr>
          <w:rFonts w:ascii="Times New Roman" w:eastAsia="Calibri" w:hAnsi="Times New Roman" w:cs="Times New Roman"/>
          <w:sz w:val="24"/>
          <w:szCs w:val="24"/>
        </w:rPr>
        <w:t xml:space="preserve">A: </w:t>
      </w:r>
      <w:proofErr w:type="spellStart"/>
      <w:r w:rsidR="00DB2B24" w:rsidRPr="00FF0973">
        <w:rPr>
          <w:rFonts w:ascii="Times New Roman" w:eastAsia="Calibri" w:hAnsi="Times New Roman" w:cs="Times New Roman"/>
          <w:sz w:val="24"/>
          <w:szCs w:val="24"/>
        </w:rPr>
        <w:t>Abnormal</w:t>
      </w:r>
      <w:proofErr w:type="spellEnd"/>
      <w:r w:rsidR="00DB2B24" w:rsidRPr="00FF0973">
        <w:rPr>
          <w:rFonts w:ascii="Times New Roman" w:eastAsia="Calibri" w:hAnsi="Times New Roman" w:cs="Times New Roman"/>
          <w:sz w:val="24"/>
          <w:szCs w:val="24"/>
        </w:rPr>
        <w:t>;</w:t>
      </w:r>
      <w:r w:rsidR="00DB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AZA: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Azathioprine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BD: Behçet’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disease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CS: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Corticosteroids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477C7D">
        <w:rPr>
          <w:rFonts w:ascii="Times New Roman" w:eastAsia="Calibri" w:hAnsi="Times New Roman" w:cs="Times New Roman"/>
          <w:sz w:val="24"/>
          <w:szCs w:val="24"/>
        </w:rPr>
        <w:t>ON:Optic</w:t>
      </w:r>
      <w:proofErr w:type="spellEnd"/>
      <w:proofErr w:type="gram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0973">
        <w:rPr>
          <w:rFonts w:ascii="Times New Roman" w:eastAsia="Calibri" w:hAnsi="Times New Roman" w:cs="Times New Roman"/>
          <w:sz w:val="24"/>
          <w:szCs w:val="24"/>
        </w:rPr>
        <w:t>neuropathy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R:Right; L:Left; RE: Right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eye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LE: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Left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eye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BE: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Bilateral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eyes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EDSS:Expanded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Disability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Status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Scale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OCB: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Oligoclonal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band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VEP: Visual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evoked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potential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FFA: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Fundus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fluorescein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angiography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LP: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Light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perception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; CF: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Count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C7D">
        <w:rPr>
          <w:rFonts w:ascii="Times New Roman" w:eastAsia="Calibri" w:hAnsi="Times New Roman" w:cs="Times New Roman"/>
          <w:sz w:val="24"/>
          <w:szCs w:val="24"/>
        </w:rPr>
        <w:t>finger</w:t>
      </w:r>
      <w:proofErr w:type="spellEnd"/>
      <w:r w:rsidRPr="00477C7D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477C7D" w:rsidRPr="00477C7D" w:rsidSect="00513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0"/>
    <w:rsid w:val="00053091"/>
    <w:rsid w:val="000569F4"/>
    <w:rsid w:val="00082CCD"/>
    <w:rsid w:val="000946D7"/>
    <w:rsid w:val="000F394A"/>
    <w:rsid w:val="00136945"/>
    <w:rsid w:val="0023073D"/>
    <w:rsid w:val="00327848"/>
    <w:rsid w:val="00396C1A"/>
    <w:rsid w:val="00477C7D"/>
    <w:rsid w:val="004C2E7C"/>
    <w:rsid w:val="00513FB1"/>
    <w:rsid w:val="00525E0E"/>
    <w:rsid w:val="00542F8D"/>
    <w:rsid w:val="00553280"/>
    <w:rsid w:val="00557436"/>
    <w:rsid w:val="005A3DE1"/>
    <w:rsid w:val="00650878"/>
    <w:rsid w:val="006A4D76"/>
    <w:rsid w:val="00766B20"/>
    <w:rsid w:val="007E0651"/>
    <w:rsid w:val="00845033"/>
    <w:rsid w:val="008A6554"/>
    <w:rsid w:val="00927485"/>
    <w:rsid w:val="00A13307"/>
    <w:rsid w:val="00A74D96"/>
    <w:rsid w:val="00AA56F0"/>
    <w:rsid w:val="00AE3431"/>
    <w:rsid w:val="00B236E8"/>
    <w:rsid w:val="00B30971"/>
    <w:rsid w:val="00BA7264"/>
    <w:rsid w:val="00C110D5"/>
    <w:rsid w:val="00C34152"/>
    <w:rsid w:val="00C61EA6"/>
    <w:rsid w:val="00C94CEA"/>
    <w:rsid w:val="00CA31E7"/>
    <w:rsid w:val="00CC6F6A"/>
    <w:rsid w:val="00D4569E"/>
    <w:rsid w:val="00D70413"/>
    <w:rsid w:val="00D858A0"/>
    <w:rsid w:val="00DA12AA"/>
    <w:rsid w:val="00DB2B24"/>
    <w:rsid w:val="00DB7887"/>
    <w:rsid w:val="00DE0690"/>
    <w:rsid w:val="00F06BF0"/>
    <w:rsid w:val="00F44DCE"/>
    <w:rsid w:val="00F61477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315D6-7AAA-459E-A197-F0DD0E08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E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F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Hülya Ertaşoğlu Toydemir</cp:lastModifiedBy>
  <cp:revision>3</cp:revision>
  <dcterms:created xsi:type="dcterms:W3CDTF">2018-04-08T20:48:00Z</dcterms:created>
  <dcterms:modified xsi:type="dcterms:W3CDTF">2018-04-08T20:55:00Z</dcterms:modified>
</cp:coreProperties>
</file>