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8432" w14:textId="5AE48E85" w:rsidR="00D40D6A" w:rsidRDefault="00D40D6A" w:rsidP="00712A58">
      <w:pPr>
        <w:pStyle w:val="Heading1"/>
        <w:spacing w:before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Pr="00251CBA">
        <w:rPr>
          <w:rFonts w:ascii="Arial" w:hAnsi="Arial" w:cs="Arial"/>
          <w:sz w:val="24"/>
          <w:szCs w:val="24"/>
        </w:rPr>
        <w:t>Tables</w:t>
      </w:r>
    </w:p>
    <w:p w14:paraId="79197365" w14:textId="2B9C50FE" w:rsidR="00C76344" w:rsidRPr="00C76344" w:rsidRDefault="00895F21" w:rsidP="00C76344">
      <w:proofErr w:type="spellStart"/>
      <w:r>
        <w:rPr>
          <w:b/>
          <w:bCs/>
        </w:rPr>
        <w:t>eTable</w:t>
      </w:r>
      <w:proofErr w:type="spellEnd"/>
      <w:r>
        <w:rPr>
          <w:b/>
          <w:bCs/>
        </w:rPr>
        <w:t xml:space="preserve"> 1</w:t>
      </w:r>
      <w:r w:rsidR="00C76344" w:rsidRPr="00C76344">
        <w:rPr>
          <w:b/>
          <w:bCs/>
        </w:rPr>
        <w:t xml:space="preserve"> </w:t>
      </w:r>
      <w:r w:rsidR="00C76344" w:rsidRPr="00C76344">
        <w:t xml:space="preserve">Characteristics of the MS-STAT </w:t>
      </w:r>
      <w:r w:rsidR="00D40D6A">
        <w:t xml:space="preserve">per-protocol </w:t>
      </w:r>
      <w:r w:rsidR="00C76344" w:rsidRPr="00C76344">
        <w:t>trial cohort and descriptive statistics for serum NFL and serum NFH across timepoints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985"/>
      </w:tblGrid>
      <w:tr w:rsidR="00995C08" w:rsidRPr="00C76344" w14:paraId="6A50C7C1" w14:textId="77777777" w:rsidTr="00995C08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CD00B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3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E4E2E" w14:textId="77777777" w:rsidR="00D714B0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Placebo </w:t>
            </w:r>
          </w:p>
          <w:p w14:paraId="497614A1" w14:textId="4AB36032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(n=49)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24E23" w14:textId="6D54285F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Simvastatin (n=52)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0B24D" w14:textId="77777777" w:rsidR="00D714B0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  <w:p w14:paraId="3D7C72E6" w14:textId="4F74D7A3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(n=101)</w:t>
            </w:r>
          </w:p>
        </w:tc>
      </w:tr>
      <w:tr w:rsidR="00995C08" w:rsidRPr="00C76344" w14:paraId="4146BD12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2E06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344">
              <w:rPr>
                <w:rFonts w:ascii="Arial" w:hAnsi="Arial" w:cs="Arial"/>
                <w:b/>
                <w:bCs/>
                <w:sz w:val="20"/>
                <w:szCs w:val="20"/>
              </w:rPr>
              <w:t>Baseline characteristics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8022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67E07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DBF0A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08" w:rsidRPr="00C76344" w14:paraId="54B1645A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3E98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Gender: N (%) 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2C01" w14:textId="67C2DE64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31 (63%)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F395" w14:textId="1044537E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36 (69%)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9770" w14:textId="48FB9C09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67 (66%)</w:t>
            </w:r>
          </w:p>
        </w:tc>
      </w:tr>
      <w:tr w:rsidR="00995C08" w:rsidRPr="00C76344" w14:paraId="30667E6C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A12B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Ethnicity: N (%) 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CB9B" w14:textId="7DECADB2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44 (90%)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1E31C" w14:textId="07DABC5A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52 (100%)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6EEF" w14:textId="3FCDD1D9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96 (95%)</w:t>
            </w:r>
          </w:p>
        </w:tc>
      </w:tr>
      <w:tr w:rsidR="00995C08" w:rsidRPr="00C76344" w14:paraId="295CFA17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C688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Relapse in last 24 months: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2C51" w14:textId="77FB4B07" w:rsidR="00995C08" w:rsidRPr="00C76344" w:rsidRDefault="00F2733E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995C08" w:rsidRPr="00995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995C08" w:rsidRPr="00995C0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0241" w14:textId="29636BA9" w:rsidR="00995C08" w:rsidRPr="00C76344" w:rsidRDefault="00F2733E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95C08" w:rsidRPr="00995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95C08" w:rsidRPr="00995C08">
              <w:rPr>
                <w:rFonts w:ascii="Arial" w:hAnsi="Arial" w:cs="Arial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67EE" w14:textId="26C73B9B" w:rsidR="00995C08" w:rsidRPr="00C76344" w:rsidRDefault="00F2733E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995C08" w:rsidRPr="00995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995C08" w:rsidRPr="00995C08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995C08" w:rsidRPr="00C76344" w14:paraId="382E38D7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1C18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Age (years): mean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B974" w14:textId="6564F685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50.4 (7.1)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9757" w14:textId="05438A8D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52.0 (7.1)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DCB7" w14:textId="6EE498F1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51.2 (7.1)</w:t>
            </w:r>
          </w:p>
        </w:tc>
      </w:tr>
      <w:tr w:rsidR="00995C08" w:rsidRPr="00C76344" w14:paraId="6D917FED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5A35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MS duration (years): mean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95BF" w14:textId="00EF024D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19.6 (9.4)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88D7" w14:textId="37D542B4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23.1 (8.0)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92BE" w14:textId="6899DBA3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21.4 (8.9)</w:t>
            </w:r>
          </w:p>
        </w:tc>
      </w:tr>
      <w:tr w:rsidR="00995C08" w:rsidRPr="00C76344" w14:paraId="30A929B0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9F83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SPMS duration (years): mean (SD)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142B" w14:textId="202BFFE5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6.2 (4.1)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9C93" w14:textId="74E619B0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7.2 (5.6)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93E9" w14:textId="1D5A9EE2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6.7 (4.9)</w:t>
            </w:r>
          </w:p>
        </w:tc>
      </w:tr>
      <w:tr w:rsidR="00995C08" w:rsidRPr="00C76344" w14:paraId="669A010B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108D2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EDSS: median 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C4FDB" w14:textId="3CE371F5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6.0 (6.0 to 6.5)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07028" w14:textId="61A8C0F4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6.0 (5.5 to 6.5)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8214" w14:textId="5A3D869B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6.0 (5.5 to 6.5)</w:t>
            </w:r>
          </w:p>
        </w:tc>
      </w:tr>
      <w:tr w:rsidR="00995C08" w:rsidRPr="00C76344" w14:paraId="2F1C7C8D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03A6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Previous use of interferon: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3CC6D" w14:textId="1472E5AF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11 (16%)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3243" w14:textId="7CEF5BA6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 (9%)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04D1" w14:textId="48C4B10B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17 (12%)</w:t>
            </w:r>
          </w:p>
        </w:tc>
      </w:tr>
      <w:tr w:rsidR="00995C08" w:rsidRPr="00C76344" w14:paraId="5DEF6178" w14:textId="77777777" w:rsidTr="00995C08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F0A8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4928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3B33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1228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08" w:rsidRPr="00C76344" w14:paraId="36FEA814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29BC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344">
              <w:rPr>
                <w:rFonts w:ascii="Arial" w:hAnsi="Arial" w:cs="Arial"/>
                <w:b/>
                <w:bCs/>
                <w:sz w:val="20"/>
                <w:szCs w:val="20"/>
              </w:rPr>
              <w:t>Serum NFL (</w:t>
            </w:r>
            <w:proofErr w:type="spellStart"/>
            <w:r w:rsidRPr="00C76344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r w:rsidRPr="00C76344">
              <w:rPr>
                <w:rFonts w:ascii="Arial" w:hAnsi="Arial" w:cs="Arial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F5C6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9D07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BED4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08" w:rsidRPr="00C76344" w14:paraId="3CEB340D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2D1AB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 xml:space="preserve">Baseline: median </w:t>
            </w:r>
          </w:p>
          <w:p w14:paraId="4FB2751F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2F5C" w14:textId="00698845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16.2 (11.3 to 23.4)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65846" w14:textId="10DE8014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14.5 (11.3 to 20.2)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6D376" w14:textId="4ACE4E6A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15.6 (11.3 to 21.3)</w:t>
            </w:r>
          </w:p>
        </w:tc>
      </w:tr>
      <w:tr w:rsidR="00995C08" w:rsidRPr="00C76344" w14:paraId="43513425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8BCED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A0A5" w14:textId="771D6554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3BDE5" w14:textId="5143D349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DFDE" w14:textId="47B7541F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995C08" w:rsidRPr="00C76344" w14:paraId="7C86C916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49E2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 xml:space="preserve">Month 6: median </w:t>
            </w:r>
          </w:p>
          <w:p w14:paraId="46011FCB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6BA1" w14:textId="5D1B2F8A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15.1 (11.1 to 23.7)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4C3E9" w14:textId="2E6F28E1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16.2 (11.8 to 23.7)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CFB3" w14:textId="4056EBFA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15.4 (11.8 to 23.7)</w:t>
            </w:r>
          </w:p>
        </w:tc>
      </w:tr>
      <w:tr w:rsidR="00995C08" w:rsidRPr="00C76344" w14:paraId="46AD6A60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D40A2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57992" w14:textId="76645696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8D0A" w14:textId="69A0C21F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788C" w14:textId="6878836F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995C08" w:rsidRPr="00C76344" w14:paraId="5EA9ED57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C4B6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 xml:space="preserve">Month 12: median </w:t>
            </w:r>
          </w:p>
          <w:p w14:paraId="1B4539CF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FD66" w14:textId="14052739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16.6 (11.0 to 22.3)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D0F0" w14:textId="38A4F86F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17.9 (13.7 to 24.3)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5544" w14:textId="2345901F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17.1 (12.9 to 23.9)</w:t>
            </w:r>
          </w:p>
        </w:tc>
      </w:tr>
      <w:tr w:rsidR="00995C08" w:rsidRPr="00C76344" w14:paraId="76B55E71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0211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0962" w14:textId="0096AAC9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F22E" w14:textId="5AECF1B9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6B909" w14:textId="245B570B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995C08" w:rsidRPr="00C76344" w14:paraId="5E046DF1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F4FC87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 xml:space="preserve">Month 24: median </w:t>
            </w:r>
          </w:p>
          <w:p w14:paraId="1F889B0A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(IQR)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0B74D9" w14:textId="769FBF0E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18.5 (14.0 to 23.6)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D8F66D" w14:textId="3F4D1090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16.2 (12.0 to 24.8)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F9D244" w14:textId="1D5F3724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17.0 (12.4 to 24.6)</w:t>
            </w:r>
          </w:p>
        </w:tc>
      </w:tr>
      <w:tr w:rsidR="00995C08" w:rsidRPr="00C76344" w14:paraId="202769A5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A9E79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E85B0" w14:textId="0756C118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B82FB" w14:textId="2A750E3E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CD36A" w14:textId="6BEA53EA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995C08" w:rsidRPr="00C76344" w14:paraId="6FD43E8A" w14:textId="77777777" w:rsidTr="00995C08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9425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0192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055F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E45A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08" w:rsidRPr="00C76344" w14:paraId="6C160A0F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018E9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344">
              <w:rPr>
                <w:rFonts w:ascii="Arial" w:hAnsi="Arial" w:cs="Arial"/>
                <w:b/>
                <w:bCs/>
                <w:sz w:val="20"/>
                <w:szCs w:val="20"/>
              </w:rPr>
              <w:t>Serum NFH (</w:t>
            </w:r>
            <w:proofErr w:type="spellStart"/>
            <w:r w:rsidRPr="00C76344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r w:rsidRPr="00C76344">
              <w:rPr>
                <w:rFonts w:ascii="Arial" w:hAnsi="Arial" w:cs="Arial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8853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9E49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30F6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08" w:rsidRPr="00C76344" w14:paraId="4E4FE98B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C03C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 xml:space="preserve">Baseline: median </w:t>
            </w:r>
          </w:p>
          <w:p w14:paraId="46B78F18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CB52" w14:textId="450B64AC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68.7 (24.0 to 164.8)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9C7B5" w14:textId="6EDD835D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57.8 (21.3 to 110.6)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6B58F" w14:textId="45CACD13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63.3 (23.9 to 118.5)</w:t>
            </w:r>
          </w:p>
        </w:tc>
      </w:tr>
      <w:tr w:rsidR="00995C08" w:rsidRPr="00C76344" w14:paraId="78A17406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54FB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1912" w14:textId="3C391111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92FE" w14:textId="52C8AAC1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F0BD" w14:textId="26E7F61C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995C08" w:rsidRPr="00C76344" w14:paraId="5058326A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0390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 xml:space="preserve">Month 6: median </w:t>
            </w:r>
          </w:p>
          <w:p w14:paraId="73AE8F0A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7D36" w14:textId="4AB9F552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87.3 (34.5 to 139.5)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952C" w14:textId="6D66DCA9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53.1 (18.1 to 105.5)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501C" w14:textId="20B9378A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63.4 (21.3 to 118.5)</w:t>
            </w:r>
          </w:p>
        </w:tc>
      </w:tr>
      <w:tr w:rsidR="00995C08" w:rsidRPr="00C76344" w14:paraId="4FFA3CCF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EA17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6F8A" w14:textId="67380A39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CC49" w14:textId="03260C3D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ED7A" w14:textId="3107E4EE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995C08" w:rsidRPr="00C76344" w14:paraId="71469A73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A2B8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 xml:space="preserve">Month 12: median </w:t>
            </w:r>
          </w:p>
          <w:p w14:paraId="499E5EA9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(IQR)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9C49" w14:textId="1A35DD6B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74.6 (22.6 to 144.4)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A2A6" w14:textId="77D6EB9B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63.4 (20.2 to 107.1)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67C3" w14:textId="71C3D582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67.2 (20.2 to 118.5)</w:t>
            </w:r>
          </w:p>
        </w:tc>
      </w:tr>
      <w:tr w:rsidR="00995C08" w:rsidRPr="00C76344" w14:paraId="3D7F9ABC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1C4C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6673" w14:textId="16CE00B6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9379F" w14:textId="694E0BFF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7B38B" w14:textId="1648A0C4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995C08" w:rsidRPr="00C76344" w14:paraId="08F6658C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6003D3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 xml:space="preserve">Month 24: median </w:t>
            </w:r>
          </w:p>
          <w:p w14:paraId="757F9435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(IQR)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424BFD" w14:textId="36B0FE54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73.4 (42.2 to 119.9)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CF90B3" w14:textId="59DA02B1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57.4 (24.1 to 114.3)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108CCE" w14:textId="521CBC85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67.8 (24.8 to 116.2)</w:t>
            </w:r>
          </w:p>
        </w:tc>
      </w:tr>
      <w:tr w:rsidR="00995C08" w:rsidRPr="00C76344" w14:paraId="56264103" w14:textId="77777777" w:rsidTr="00995C08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273DD" w14:textId="7777777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34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3D47B" w14:textId="487703A6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B3B71" w14:textId="1269FA57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41FD8" w14:textId="7D92720F" w:rsidR="00995C08" w:rsidRPr="00C76344" w:rsidRDefault="00995C08" w:rsidP="00995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08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</w:tr>
    </w:tbl>
    <w:p w14:paraId="7D9F2665" w14:textId="5B794E60" w:rsidR="004C698B" w:rsidRDefault="00C76344">
      <w:r w:rsidRPr="00C76344">
        <w:t>Abbreviations: MS = multiple sclerosis; SPMS = secondary progressive multiple sclerosis; EDSS = Expanded Disability Status Scale; NFL = serum neurofilament light; NFH = serum phosphorylated neurofilament heavy; IQR = interquartile range; N = number.</w:t>
      </w:r>
    </w:p>
    <w:p w14:paraId="014594DE" w14:textId="77777777" w:rsidR="00712A58" w:rsidRDefault="00712A58">
      <w:pPr>
        <w:rPr>
          <w:b/>
          <w:bCs/>
        </w:rPr>
      </w:pPr>
      <w:r>
        <w:rPr>
          <w:b/>
          <w:bCs/>
        </w:rPr>
        <w:br w:type="page"/>
      </w:r>
    </w:p>
    <w:p w14:paraId="36E230FB" w14:textId="4D50FE9F" w:rsidR="00ED5393" w:rsidRPr="00ED5393" w:rsidRDefault="00895F21" w:rsidP="00ED5393">
      <w:proofErr w:type="spellStart"/>
      <w:r>
        <w:rPr>
          <w:b/>
          <w:bCs/>
        </w:rPr>
        <w:lastRenderedPageBreak/>
        <w:t>eTable</w:t>
      </w:r>
      <w:proofErr w:type="spellEnd"/>
      <w:r>
        <w:rPr>
          <w:b/>
          <w:bCs/>
        </w:rPr>
        <w:t xml:space="preserve"> 2 </w:t>
      </w:r>
      <w:r w:rsidR="00ED5393" w:rsidRPr="00ED5393">
        <w:t>Effect of high dose simvastatin on serum NFL and serum NFH</w:t>
      </w:r>
      <w:r w:rsidR="00D714B0">
        <w:t>, per-protocol analysis</w:t>
      </w:r>
      <w:r w:rsidR="0052074F">
        <w:t xml:space="preserve"> </w:t>
      </w:r>
    </w:p>
    <w:tbl>
      <w:tblPr>
        <w:tblW w:w="92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1701"/>
        <w:gridCol w:w="1701"/>
      </w:tblGrid>
      <w:tr w:rsidR="00ED5393" w:rsidRPr="00ED5393" w14:paraId="1B121409" w14:textId="77777777" w:rsidTr="00D558CE">
        <w:trPr>
          <w:trHeight w:val="433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DEFA4" w14:textId="77777777" w:rsidR="00ED5393" w:rsidRPr="00ED5393" w:rsidRDefault="00ED5393" w:rsidP="00712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F33FA" w14:textId="6FF978B4" w:rsidR="00ED5393" w:rsidRPr="00ED5393" w:rsidRDefault="0052074F" w:rsidP="00712A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Adjusted d</w:t>
            </w:r>
            <w:r w:rsidR="00ED5393"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ifference in geometric mean (</w:t>
            </w:r>
            <w:proofErr w:type="gramStart"/>
            <w:r w:rsidR="00ED5393"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%)*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9F003" w14:textId="77777777" w:rsidR="00ED5393" w:rsidRPr="00ED5393" w:rsidRDefault="00ED5393" w:rsidP="00712A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97608" w14:textId="77777777" w:rsidR="00ED5393" w:rsidRPr="00ED5393" w:rsidRDefault="00ED5393" w:rsidP="00712A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ED5393" w:rsidRPr="00ED5393" w14:paraId="03843C05" w14:textId="77777777" w:rsidTr="00D558CE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</w:tcPr>
          <w:p w14:paraId="1F974BF4" w14:textId="77777777" w:rsidR="00ED5393" w:rsidRPr="00ED5393" w:rsidRDefault="00ED5393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Serum NFL (</w:t>
            </w:r>
            <w:proofErr w:type="spellStart"/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A498957" w14:textId="77777777" w:rsidR="00ED5393" w:rsidRPr="00ED5393" w:rsidRDefault="00ED539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2267CD6" w14:textId="77777777" w:rsidR="00ED5393" w:rsidRPr="00ED5393" w:rsidRDefault="00ED539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98FFA5A" w14:textId="77777777" w:rsidR="00ED5393" w:rsidRPr="00ED5393" w:rsidRDefault="00ED539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953" w:rsidRPr="00ED5393" w14:paraId="0DE683D0" w14:textId="77777777" w:rsidTr="005447B5">
        <w:trPr>
          <w:trHeight w:val="300"/>
        </w:trPr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14:paraId="02FF3FD2" w14:textId="77777777" w:rsidR="00DB0953" w:rsidRPr="00ED5393" w:rsidRDefault="00DB0953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6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1104" w14:textId="25528594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82FF" w14:textId="1A4E38BF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-17.3 to 16.1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587E" w14:textId="4ED03BE6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0.815</w:t>
            </w:r>
          </w:p>
        </w:tc>
      </w:tr>
      <w:tr w:rsidR="00DB0953" w:rsidRPr="00ED5393" w14:paraId="2AB2CB0B" w14:textId="77777777" w:rsidTr="005447B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F5B7237" w14:textId="77777777" w:rsidR="00DB0953" w:rsidRPr="00ED5393" w:rsidRDefault="00DB0953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95E6" w14:textId="23DE2EAD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844E" w14:textId="38CAAE7F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-1.1 to 30.4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5F74" w14:textId="3A6FBE65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0.071</w:t>
            </w:r>
          </w:p>
        </w:tc>
      </w:tr>
      <w:tr w:rsidR="00DB0953" w:rsidRPr="00ED5393" w14:paraId="3B012B50" w14:textId="77777777" w:rsidTr="005447B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28244009" w14:textId="77777777" w:rsidR="00DB0953" w:rsidRPr="00ED5393" w:rsidRDefault="00DB0953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24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6759" w14:textId="3ADED94F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7F27" w14:textId="41D462E9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-15.1 to 15.6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A905" w14:textId="2CD4CAE9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0.905</w:t>
            </w:r>
          </w:p>
        </w:tc>
      </w:tr>
      <w:tr w:rsidR="00DB0953" w:rsidRPr="00ED5393" w14:paraId="0B2FB226" w14:textId="77777777" w:rsidTr="005447B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6E777B3" w14:textId="77777777" w:rsidR="00DB0953" w:rsidRPr="00ED5393" w:rsidRDefault="00DB0953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5328246"/>
            <w:r w:rsidRPr="00ED5393">
              <w:rPr>
                <w:rFonts w:ascii="Arial" w:hAnsi="Arial" w:cs="Arial"/>
                <w:sz w:val="20"/>
                <w:szCs w:val="20"/>
              </w:rPr>
              <w:t>Mean treatment effect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ED7C" w14:textId="11CF56DD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979F" w14:textId="0222E63D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-7.7 to 15.6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85FB" w14:textId="393346E9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0.570</w:t>
            </w:r>
          </w:p>
        </w:tc>
      </w:tr>
      <w:bookmarkEnd w:id="0"/>
      <w:tr w:rsidR="00DB0953" w:rsidRPr="00ED5393" w14:paraId="34EC39E1" w14:textId="77777777" w:rsidTr="00D558C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FD2059D" w14:textId="77777777" w:rsidR="00DB0953" w:rsidRPr="00ED5393" w:rsidRDefault="00DB0953" w:rsidP="00712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Serum NFH (</w:t>
            </w:r>
            <w:proofErr w:type="spellStart"/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E3F82" w14:textId="77777777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5882" w14:textId="77777777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5DDB" w14:textId="77777777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953" w:rsidRPr="00ED5393" w14:paraId="1E54A870" w14:textId="77777777" w:rsidTr="005447B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657543BB" w14:textId="77777777" w:rsidR="00DB0953" w:rsidRPr="00ED5393" w:rsidRDefault="00DB0953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40BD" w14:textId="0ED543FE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-15.0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6A67" w14:textId="1A6F49AF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-37.6 to 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BFCB" w14:textId="21D120F2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0.305</w:t>
            </w:r>
          </w:p>
        </w:tc>
      </w:tr>
      <w:tr w:rsidR="00DB0953" w:rsidRPr="00ED5393" w14:paraId="38B1B86F" w14:textId="77777777" w:rsidTr="005447B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0CE946D" w14:textId="77777777" w:rsidR="00DB0953" w:rsidRPr="00ED5393" w:rsidRDefault="00DB0953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D4DF" w14:textId="171332F2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1621" w14:textId="590A454F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-20.6 to 33.0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9C6C" w14:textId="17BBCB7A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0.837</w:t>
            </w:r>
          </w:p>
        </w:tc>
      </w:tr>
      <w:tr w:rsidR="00DB0953" w:rsidRPr="00ED5393" w14:paraId="50118023" w14:textId="77777777" w:rsidTr="005447B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4FD3BD1" w14:textId="77777777" w:rsidR="00DB0953" w:rsidRPr="00ED5393" w:rsidRDefault="00DB0953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24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6AF6" w14:textId="4E69CE77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-6.8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3562" w14:textId="65407F39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-28.1 to 20.8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DE85" w14:textId="0153276D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0.594</w:t>
            </w:r>
          </w:p>
        </w:tc>
      </w:tr>
      <w:tr w:rsidR="00DB0953" w:rsidRPr="00ED5393" w14:paraId="31730995" w14:textId="77777777" w:rsidTr="005447B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A6DA72A" w14:textId="77777777" w:rsidR="00DB0953" w:rsidRPr="00ED5393" w:rsidRDefault="00DB0953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>Mean treatment effect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D809" w14:textId="4B348C81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D30C" w14:textId="0B91C74E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-27.0 to 19.5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3DEA" w14:textId="3DEC8C53" w:rsidR="00DB0953" w:rsidRPr="00ED5393" w:rsidRDefault="00DB0953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953">
              <w:rPr>
                <w:rFonts w:ascii="Arial" w:hAnsi="Arial" w:cs="Arial"/>
                <w:color w:val="000000"/>
                <w:sz w:val="20"/>
                <w:szCs w:val="20"/>
              </w:rPr>
              <w:t>0.586</w:t>
            </w:r>
          </w:p>
        </w:tc>
      </w:tr>
    </w:tbl>
    <w:p w14:paraId="3C9C824D" w14:textId="77777777" w:rsidR="0052074F" w:rsidRDefault="00ED5393" w:rsidP="00ED5393">
      <w:r w:rsidRPr="00ED5393">
        <w:t xml:space="preserve">* Percentage difference in geometric mean serum neurofilaments, simvastatin versus placebo, adjusted for age, sex, dichotomised EDSS (4.0-5.5, 6.0-6.5) and study site. Differences are shown for each follow-up visit, </w:t>
      </w:r>
      <w:proofErr w:type="gramStart"/>
      <w:r w:rsidRPr="00ED5393">
        <w:t>and also</w:t>
      </w:r>
      <w:proofErr w:type="gramEnd"/>
      <w:r w:rsidRPr="00ED5393">
        <w:t xml:space="preserve"> the average treatment effect across all follow-up visits. Abbreviations: NFL = serum neurofilament light; NFH = serum phosphorylated neurofilament heavy; CI = confidence interval</w:t>
      </w:r>
      <w:r w:rsidR="0052074F">
        <w:t>.</w:t>
      </w:r>
    </w:p>
    <w:p w14:paraId="3179730A" w14:textId="2D4A3C77" w:rsidR="0052074F" w:rsidRDefault="0052074F" w:rsidP="00ED5393"/>
    <w:p w14:paraId="13FE6305" w14:textId="77777777" w:rsidR="00712A58" w:rsidRDefault="00712A58" w:rsidP="00ED5393"/>
    <w:p w14:paraId="1B3F1203" w14:textId="47CC7F32" w:rsidR="0052074F" w:rsidRPr="00ED5393" w:rsidRDefault="00895F21" w:rsidP="0052074F">
      <w:proofErr w:type="spellStart"/>
      <w:r>
        <w:rPr>
          <w:b/>
          <w:bCs/>
        </w:rPr>
        <w:t>eTable</w:t>
      </w:r>
      <w:proofErr w:type="spellEnd"/>
      <w:r>
        <w:rPr>
          <w:b/>
          <w:bCs/>
        </w:rPr>
        <w:t xml:space="preserve"> 3</w:t>
      </w:r>
      <w:r w:rsidR="0052074F" w:rsidRPr="00ED5393">
        <w:rPr>
          <w:b/>
          <w:bCs/>
        </w:rPr>
        <w:t xml:space="preserve"> </w:t>
      </w:r>
      <w:r w:rsidR="0052074F" w:rsidRPr="00ED5393">
        <w:t>Effect of high dose simvastatin on serum NFL and serum NFH</w:t>
      </w:r>
      <w:r w:rsidR="0052074F">
        <w:t xml:space="preserve">, adjusted for baseline lesion volume and relapses in the last 24 months in addition to </w:t>
      </w:r>
      <w:r w:rsidR="0052074F" w:rsidRPr="00ED5393">
        <w:t>age, sex, dichotomised EDSS (4.0-5.5, 6.0-6.5) and study site</w:t>
      </w:r>
    </w:p>
    <w:tbl>
      <w:tblPr>
        <w:tblW w:w="92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1701"/>
        <w:gridCol w:w="1701"/>
      </w:tblGrid>
      <w:tr w:rsidR="0052074F" w:rsidRPr="00ED5393" w14:paraId="28CB7015" w14:textId="77777777" w:rsidTr="00D558CE">
        <w:trPr>
          <w:trHeight w:val="433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2CC96" w14:textId="77777777" w:rsidR="0052074F" w:rsidRPr="00ED5393" w:rsidRDefault="0052074F" w:rsidP="00712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F8BFB" w14:textId="723EA7BC" w:rsidR="0052074F" w:rsidRPr="00ED5393" w:rsidRDefault="0052074F" w:rsidP="00712A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Adjusted d</w:t>
            </w:r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ifference in geometric mean (</w:t>
            </w:r>
            <w:proofErr w:type="gramStart"/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%)*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9EED5" w14:textId="77777777" w:rsidR="0052074F" w:rsidRPr="00ED5393" w:rsidRDefault="0052074F" w:rsidP="00712A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C2244" w14:textId="77777777" w:rsidR="0052074F" w:rsidRPr="00ED5393" w:rsidRDefault="0052074F" w:rsidP="00712A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52074F" w:rsidRPr="00ED5393" w14:paraId="2E7C5D48" w14:textId="77777777" w:rsidTr="00D558CE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</w:tcPr>
          <w:p w14:paraId="1F97A641" w14:textId="77777777" w:rsidR="0052074F" w:rsidRPr="00ED5393" w:rsidRDefault="0052074F" w:rsidP="00712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Serum NFL (</w:t>
            </w:r>
            <w:proofErr w:type="spellStart"/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7D1D02D" w14:textId="77777777" w:rsidR="0052074F" w:rsidRPr="00ED5393" w:rsidRDefault="0052074F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72C098A" w14:textId="77777777" w:rsidR="0052074F" w:rsidRPr="00ED5393" w:rsidRDefault="0052074F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F76E002" w14:textId="77777777" w:rsidR="0052074F" w:rsidRPr="00ED5393" w:rsidRDefault="0052074F" w:rsidP="00712A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57" w:rsidRPr="00ED5393" w14:paraId="2977D794" w14:textId="77777777" w:rsidTr="00D558CE">
        <w:trPr>
          <w:trHeight w:val="300"/>
        </w:trPr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14:paraId="7413619A" w14:textId="77777777" w:rsidR="00F76B57" w:rsidRPr="00ED5393" w:rsidRDefault="00F76B57" w:rsidP="00F7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6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57F8" w14:textId="27AAB3FF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84DC" w14:textId="462E780A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-13.7 to 14.6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B581" w14:textId="02321A0A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0.939</w:t>
            </w:r>
          </w:p>
        </w:tc>
      </w:tr>
      <w:tr w:rsidR="00F76B57" w:rsidRPr="00ED5393" w14:paraId="536B50A9" w14:textId="77777777" w:rsidTr="00D558C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59607B4" w14:textId="77777777" w:rsidR="00F76B57" w:rsidRPr="00ED5393" w:rsidRDefault="00F76B57" w:rsidP="00F7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7469" w14:textId="2485552E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A8E7" w14:textId="63BF7AC0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-5.3 to 22.9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67B5" w14:textId="5EBD3790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0.254</w:t>
            </w:r>
          </w:p>
        </w:tc>
      </w:tr>
      <w:tr w:rsidR="00F76B57" w:rsidRPr="00ED5393" w14:paraId="32B630B0" w14:textId="77777777" w:rsidTr="00D558C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7024F4A" w14:textId="77777777" w:rsidR="00F76B57" w:rsidRPr="00ED5393" w:rsidRDefault="00F76B57" w:rsidP="00F7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24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B94E" w14:textId="34A5BA35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9CA1" w14:textId="79FB43E2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-16.8 to 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CEA4" w14:textId="3561512F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0.544</w:t>
            </w:r>
          </w:p>
        </w:tc>
      </w:tr>
      <w:tr w:rsidR="00F76B57" w:rsidRPr="00ED5393" w14:paraId="73779C73" w14:textId="77777777" w:rsidTr="00D558C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127691E1" w14:textId="77777777" w:rsidR="00F76B57" w:rsidRPr="00ED5393" w:rsidRDefault="00F76B57" w:rsidP="00F7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>Mean treatment effect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1238" w14:textId="13219618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D200" w14:textId="15C978D3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-8.8 to 11.6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13CF" w14:textId="6DE853A0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0.863</w:t>
            </w:r>
          </w:p>
        </w:tc>
      </w:tr>
      <w:tr w:rsidR="00F76B57" w:rsidRPr="00ED5393" w14:paraId="6B12E763" w14:textId="77777777" w:rsidTr="00D558C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EB9E714" w14:textId="77777777" w:rsidR="00F76B57" w:rsidRPr="00ED5393" w:rsidRDefault="00F76B57" w:rsidP="00F76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Serum NFH (</w:t>
            </w:r>
            <w:proofErr w:type="spellStart"/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r w:rsidRPr="00ED5393">
              <w:rPr>
                <w:rFonts w:ascii="Arial" w:hAnsi="Arial" w:cs="Arial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DB7B" w14:textId="77777777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E922" w14:textId="77777777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82F5" w14:textId="77777777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57" w:rsidRPr="00ED5393" w14:paraId="450C0245" w14:textId="77777777" w:rsidTr="00D558C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F43C0DE" w14:textId="77777777" w:rsidR="00F76B57" w:rsidRPr="00ED5393" w:rsidRDefault="00F76B57" w:rsidP="00F7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E0E2" w14:textId="2FFE802A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2EF1" w14:textId="5909C1F4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-29.6 to 18.4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C2AB" w14:textId="712FFA99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0.491</w:t>
            </w:r>
          </w:p>
        </w:tc>
      </w:tr>
      <w:tr w:rsidR="00F76B57" w:rsidRPr="00ED5393" w14:paraId="45E6C558" w14:textId="77777777" w:rsidTr="00D558C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8BFFD7C" w14:textId="77777777" w:rsidR="00F76B57" w:rsidRPr="00ED5393" w:rsidRDefault="00F76B57" w:rsidP="00F7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12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77E1" w14:textId="19B51599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DA10" w14:textId="4DD11162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-15.8 to 30.4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843C" w14:textId="2FAB963F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0.674</w:t>
            </w:r>
          </w:p>
        </w:tc>
      </w:tr>
      <w:tr w:rsidR="00F76B57" w:rsidRPr="00ED5393" w14:paraId="1BCE3AC5" w14:textId="77777777" w:rsidTr="00D558C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12D88C0" w14:textId="77777777" w:rsidR="00F76B57" w:rsidRPr="00ED5393" w:rsidRDefault="00F76B57" w:rsidP="00F7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 xml:space="preserve">Month 24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080B" w14:textId="430E2346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3CC0" w14:textId="1BD9A556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-18.6 to 27.8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78C6" w14:textId="6A1A709B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0.863</w:t>
            </w:r>
          </w:p>
        </w:tc>
      </w:tr>
      <w:tr w:rsidR="00F76B57" w:rsidRPr="00ED5393" w14:paraId="39C903EA" w14:textId="77777777" w:rsidTr="00D558CE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1B14E57" w14:textId="77777777" w:rsidR="00F76B57" w:rsidRPr="00ED5393" w:rsidRDefault="00F76B57" w:rsidP="00F76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393">
              <w:rPr>
                <w:rFonts w:ascii="Arial" w:hAnsi="Arial" w:cs="Arial"/>
                <w:sz w:val="20"/>
                <w:szCs w:val="20"/>
              </w:rPr>
              <w:t>Mean treatment effect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30FB" w14:textId="376682A8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CAB4" w14:textId="469530FD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-19.3 to 21.9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13BC" w14:textId="644A67FD" w:rsidR="00F76B57" w:rsidRPr="00B81D0C" w:rsidRDefault="00F76B57" w:rsidP="00F76B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0C">
              <w:rPr>
                <w:rFonts w:ascii="Arial" w:hAnsi="Arial" w:cs="Arial"/>
                <w:color w:val="000000"/>
                <w:sz w:val="20"/>
                <w:szCs w:val="20"/>
              </w:rPr>
              <w:t>0.938</w:t>
            </w:r>
          </w:p>
        </w:tc>
      </w:tr>
    </w:tbl>
    <w:p w14:paraId="46CA89F9" w14:textId="045A5C3B" w:rsidR="0039640E" w:rsidRDefault="0052074F">
      <w:r w:rsidRPr="00ED5393">
        <w:t>* Percentage difference in geometric mean serum neurofilaments, simvastatin versus placebo, adjusted for</w:t>
      </w:r>
      <w:r>
        <w:t xml:space="preserve"> baseline lesion volume, relapses in the last 24 months, </w:t>
      </w:r>
      <w:r w:rsidRPr="00ED5393">
        <w:t xml:space="preserve">age, sex, dichotomised EDSS (4.0-5.5, 6.0-6.5) and study site. Differences are shown for each follow-up visit, </w:t>
      </w:r>
      <w:proofErr w:type="gramStart"/>
      <w:r w:rsidRPr="00ED5393">
        <w:t>and also</w:t>
      </w:r>
      <w:proofErr w:type="gramEnd"/>
      <w:r w:rsidRPr="00ED5393">
        <w:t xml:space="preserve"> the average treatment effect across all follow-up visits. Abbreviations: NFL = serum neurofilament light; NFH = serum phosphorylated neurofilament heavy; CI = confidence interval</w:t>
      </w:r>
      <w:r w:rsidR="00712A58">
        <w:t>.</w:t>
      </w:r>
    </w:p>
    <w:p w14:paraId="1990E5C1" w14:textId="196A27F1" w:rsidR="000253D6" w:rsidRDefault="000253D6"/>
    <w:p w14:paraId="188B07F1" w14:textId="77777777" w:rsidR="000253D6" w:rsidRDefault="000253D6"/>
    <w:p w14:paraId="0ECAB5DB" w14:textId="77777777" w:rsidR="000253D6" w:rsidRDefault="000253D6"/>
    <w:sectPr w:rsidR="000253D6">
      <w:headerReference w:type="even" r:id="rId6"/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3D40" w14:textId="77777777" w:rsidR="006A2A4D" w:rsidRDefault="006A2A4D" w:rsidP="00ED5393">
      <w:pPr>
        <w:spacing w:after="0" w:line="240" w:lineRule="auto"/>
      </w:pPr>
      <w:r>
        <w:separator/>
      </w:r>
    </w:p>
  </w:endnote>
  <w:endnote w:type="continuationSeparator" w:id="0">
    <w:p w14:paraId="59126292" w14:textId="77777777" w:rsidR="006A2A4D" w:rsidRDefault="006A2A4D" w:rsidP="00ED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E701" w14:textId="77777777" w:rsidR="006A2A4D" w:rsidRDefault="006A2A4D" w:rsidP="00ED5393">
      <w:pPr>
        <w:spacing w:after="0" w:line="240" w:lineRule="auto"/>
      </w:pPr>
      <w:r>
        <w:separator/>
      </w:r>
    </w:p>
  </w:footnote>
  <w:footnote w:type="continuationSeparator" w:id="0">
    <w:p w14:paraId="190FEA2A" w14:textId="77777777" w:rsidR="006A2A4D" w:rsidRDefault="006A2A4D" w:rsidP="00ED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35834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0EAC3C" w14:textId="77777777" w:rsidR="00ED5393" w:rsidRDefault="00ED5393" w:rsidP="00B212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F23B0E" w14:textId="77777777" w:rsidR="00ED5393" w:rsidRDefault="00ED5393" w:rsidP="00251C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17797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3CE2DD" w14:textId="77777777" w:rsidR="00ED5393" w:rsidRDefault="00ED5393" w:rsidP="00B212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4A2CEE78" w14:textId="65D6FC45" w:rsidR="00ED5393" w:rsidRDefault="00ED5393" w:rsidP="00712A5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37"/>
    <w:rsid w:val="000253D6"/>
    <w:rsid w:val="00282DA1"/>
    <w:rsid w:val="00295924"/>
    <w:rsid w:val="0039640E"/>
    <w:rsid w:val="004C698B"/>
    <w:rsid w:val="0052074F"/>
    <w:rsid w:val="0059190F"/>
    <w:rsid w:val="006A2A4D"/>
    <w:rsid w:val="00712A58"/>
    <w:rsid w:val="007B33C1"/>
    <w:rsid w:val="00895F21"/>
    <w:rsid w:val="00901B37"/>
    <w:rsid w:val="00925113"/>
    <w:rsid w:val="00995C08"/>
    <w:rsid w:val="00A16426"/>
    <w:rsid w:val="00A5081A"/>
    <w:rsid w:val="00AC003E"/>
    <w:rsid w:val="00B354C2"/>
    <w:rsid w:val="00B81D0C"/>
    <w:rsid w:val="00BF54CC"/>
    <w:rsid w:val="00C76344"/>
    <w:rsid w:val="00D40D6A"/>
    <w:rsid w:val="00D714B0"/>
    <w:rsid w:val="00DB0953"/>
    <w:rsid w:val="00EA7D63"/>
    <w:rsid w:val="00ED5393"/>
    <w:rsid w:val="00F2733E"/>
    <w:rsid w:val="00F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CCB8"/>
  <w15:chartTrackingRefBased/>
  <w15:docId w15:val="{7A25B9EF-0AFF-46D0-B89C-3D2E61B2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D6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9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539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D5393"/>
  </w:style>
  <w:style w:type="paragraph" w:styleId="Footer">
    <w:name w:val="footer"/>
    <w:basedOn w:val="Normal"/>
    <w:link w:val="FooterChar"/>
    <w:uiPriority w:val="99"/>
    <w:unhideWhenUsed/>
    <w:rsid w:val="00ED5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93"/>
  </w:style>
  <w:style w:type="character" w:customStyle="1" w:styleId="Heading1Char">
    <w:name w:val="Heading 1 Char"/>
    <w:basedOn w:val="DefaultParagraphFont"/>
    <w:link w:val="Heading1"/>
    <w:uiPriority w:val="9"/>
    <w:rsid w:val="00D40D6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C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3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253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253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253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253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253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Nicholas</dc:creator>
  <cp:keywords/>
  <dc:description/>
  <cp:lastModifiedBy>Morgan Sorenson</cp:lastModifiedBy>
  <cp:revision>2</cp:revision>
  <dcterms:created xsi:type="dcterms:W3CDTF">2021-11-23T16:08:00Z</dcterms:created>
  <dcterms:modified xsi:type="dcterms:W3CDTF">2021-11-23T16:08:00Z</dcterms:modified>
</cp:coreProperties>
</file>