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0C2D" w14:textId="77777777" w:rsidR="00747453" w:rsidRPr="00071775" w:rsidRDefault="00747453" w:rsidP="00747453">
      <w:pPr>
        <w:pStyle w:val="NormalWeb"/>
        <w:jc w:val="center"/>
        <w:rPr>
          <w:rFonts w:asciiTheme="minorHAnsi" w:hAnsiTheme="minorHAnsi" w:cs="Arial"/>
          <w:b/>
          <w:bCs/>
          <w:sz w:val="32"/>
        </w:rPr>
      </w:pPr>
      <w:r w:rsidRPr="00071775">
        <w:rPr>
          <w:rFonts w:asciiTheme="minorHAnsi" w:hAnsiTheme="minorHAnsi" w:cs="Arial"/>
          <w:b/>
          <w:bCs/>
          <w:sz w:val="32"/>
        </w:rPr>
        <w:t>Supplementary Files</w:t>
      </w:r>
    </w:p>
    <w:p w14:paraId="69360AAA" w14:textId="77777777" w:rsidR="00747453" w:rsidRPr="00FA4F1F" w:rsidRDefault="00747453" w:rsidP="00747453">
      <w:pPr>
        <w:pStyle w:val="NormalWeb"/>
        <w:jc w:val="center"/>
        <w:rPr>
          <w:rFonts w:asciiTheme="minorHAnsi" w:hAnsiTheme="minorHAnsi" w:cstheme="minorHAnsi"/>
          <w:b/>
          <w:bCs/>
        </w:rPr>
      </w:pPr>
    </w:p>
    <w:p w14:paraId="5944004F" w14:textId="77777777" w:rsidR="00747453" w:rsidRDefault="00747453" w:rsidP="00747453">
      <w:pPr>
        <w:jc w:val="center"/>
        <w:rPr>
          <w:rFonts w:eastAsia="Times New Roman" w:cstheme="minorHAnsi"/>
          <w:b/>
          <w:bCs/>
        </w:rPr>
      </w:pPr>
      <w:r w:rsidRPr="00747453">
        <w:rPr>
          <w:rFonts w:eastAsia="Times New Roman" w:cstheme="minorHAnsi"/>
          <w:b/>
          <w:bCs/>
        </w:rPr>
        <w:t>Neurosarcoidosis of the Cauda Equina: Clinical Course, Radiographic and Electrodiagnostic Findings, Response to Treatment, and Outcomes</w:t>
      </w:r>
    </w:p>
    <w:p w14:paraId="20CCCDC3" w14:textId="77777777" w:rsidR="00747453" w:rsidRDefault="00747453" w:rsidP="00747453">
      <w:pPr>
        <w:rPr>
          <w:rFonts w:cs="Arial"/>
          <w:bCs/>
        </w:rPr>
      </w:pPr>
    </w:p>
    <w:p w14:paraId="6BFE7D5D" w14:textId="77777777" w:rsidR="00747453" w:rsidRDefault="00747453" w:rsidP="00747453">
      <w:r w:rsidRPr="00747453">
        <w:rPr>
          <w:rFonts w:cs="Arial"/>
          <w:bCs/>
        </w:rPr>
        <w:t xml:space="preserve">Gabriela Alejandra </w:t>
      </w:r>
      <w:proofErr w:type="spellStart"/>
      <w:r w:rsidRPr="00747453">
        <w:rPr>
          <w:rFonts w:cs="Arial"/>
          <w:bCs/>
        </w:rPr>
        <w:t>Bou</w:t>
      </w:r>
      <w:proofErr w:type="spellEnd"/>
      <w:r w:rsidRPr="00747453">
        <w:rPr>
          <w:rFonts w:cs="Arial"/>
          <w:bCs/>
        </w:rPr>
        <w:t>, MD</w:t>
      </w:r>
      <w:r>
        <w:rPr>
          <w:rFonts w:cs="Arial"/>
          <w:bCs/>
        </w:rPr>
        <w:t>;</w:t>
      </w:r>
      <w:r w:rsidRPr="00747453">
        <w:rPr>
          <w:rFonts w:cs="Arial"/>
          <w:bCs/>
        </w:rPr>
        <w:t xml:space="preserve"> Rocio Garcia-</w:t>
      </w:r>
      <w:proofErr w:type="spellStart"/>
      <w:r w:rsidRPr="00747453">
        <w:rPr>
          <w:rFonts w:cs="Arial"/>
          <w:bCs/>
        </w:rPr>
        <w:t>Santibanez</w:t>
      </w:r>
      <w:proofErr w:type="spellEnd"/>
      <w:r w:rsidRPr="00747453">
        <w:rPr>
          <w:rFonts w:cs="Arial"/>
          <w:bCs/>
        </w:rPr>
        <w:t>, MD; Alexander Jordan Castilho, MD; Spencer Kristian Hutto, MD</w:t>
      </w:r>
    </w:p>
    <w:p w14:paraId="1D1C5C96" w14:textId="77777777" w:rsidR="00747453" w:rsidRPr="00797235" w:rsidRDefault="00747453" w:rsidP="00747453"/>
    <w:p w14:paraId="6418AD73" w14:textId="77777777" w:rsidR="00747453" w:rsidRPr="00797235" w:rsidRDefault="00747453" w:rsidP="00747453">
      <w:r w:rsidRPr="00797235">
        <w:t>Table of Contents</w:t>
      </w:r>
    </w:p>
    <w:p w14:paraId="21C2EF25" w14:textId="77777777" w:rsidR="00747453" w:rsidRDefault="00747453" w:rsidP="00747453">
      <w:r>
        <w:t xml:space="preserve">  2 </w:t>
      </w:r>
      <w:r>
        <w:rPr>
          <w:rFonts w:ascii="Calibri" w:hAnsi="Calibri"/>
        </w:rPr>
        <w:t>|</w:t>
      </w:r>
      <w:r>
        <w:t xml:space="preserve"> S1: Major Findings With and Without Incorporation of “Possible” Patients</w:t>
      </w:r>
    </w:p>
    <w:p w14:paraId="4E5D142A" w14:textId="77777777" w:rsidR="0051739F" w:rsidRDefault="00DC4266"/>
    <w:p w14:paraId="63DB7229" w14:textId="77777777" w:rsidR="00747453" w:rsidRDefault="00747453">
      <w:r>
        <w:br w:type="page"/>
      </w:r>
    </w:p>
    <w:p w14:paraId="74B7861A" w14:textId="77777777" w:rsidR="00747453" w:rsidRDefault="00747453">
      <w:r>
        <w:lastRenderedPageBreak/>
        <w:t>SUPPLEMENTARY S1: Major Findings With and Without Incorporation of “Possible” Patients</w:t>
      </w:r>
    </w:p>
    <w:p w14:paraId="3FA09346" w14:textId="77777777" w:rsidR="00747453" w:rsidRDefault="00747453"/>
    <w:p w14:paraId="0E3EB9C7" w14:textId="77777777" w:rsidR="00747453" w:rsidRDefault="00747453">
      <w:r>
        <w:t>In the main manuscript, we present our data for the total cohort, which includes patients with neurosarcoidosis of all three diagnostic classifications (definite, probable, and possible). As outlined by the 2018 consensus diagnostic criteria, definite patients are confirmed by neural biopsy and probable patients by extraneural biopsy.</w:t>
      </w:r>
      <w:r>
        <w:rPr>
          <w:vertAlign w:val="superscript"/>
        </w:rPr>
        <w:t>1</w:t>
      </w:r>
      <w:r>
        <w:t xml:space="preserve"> Possible patients do not have confirmatory pathology but do adhere strictly to typical clinicoradiographic profiles for neurosarcoidosis as well as behave as expected in response to standard neurosarcoidosis treatments.</w:t>
      </w:r>
      <w:r>
        <w:rPr>
          <w:vertAlign w:val="superscript"/>
        </w:rPr>
        <w:t>1</w:t>
      </w:r>
      <w:r>
        <w:t xml:space="preserve"> To illustrate that the major conclusions of the paper hold without inclusion of the “possible” diagnostically-classified patients, we present the table below examining the effect of removing possible patients on major conclusions of the manuscript. The “Total Cohort” column represents the findings presented in the main manuscript with all three classification levels included while the “Probable + Definite Cases” column represents the findings of the cohort when possible cases are not included. As displayed below, no significant alterations to the final conclusions were evident following this analysis.</w:t>
      </w:r>
    </w:p>
    <w:p w14:paraId="1769B680" w14:textId="77777777" w:rsidR="00747453" w:rsidRDefault="00747453" w:rsidP="00747453">
      <w:pPr>
        <w:pStyle w:val="HTMLPreformatted"/>
        <w:spacing w:line="270" w:lineRule="atLeast"/>
        <w:textAlignment w:val="baseline"/>
        <w:rPr>
          <w:rFonts w:ascii="Arial" w:hAnsi="Arial" w:cs="Arial"/>
          <w:color w:val="000000"/>
          <w:sz w:val="22"/>
          <w:szCs w:val="22"/>
        </w:rPr>
      </w:pPr>
    </w:p>
    <w:tbl>
      <w:tblPr>
        <w:tblStyle w:val="TableGrid"/>
        <w:tblW w:w="0" w:type="auto"/>
        <w:tblLook w:val="04A0" w:firstRow="1" w:lastRow="0" w:firstColumn="1" w:lastColumn="0" w:noHBand="0" w:noVBand="1"/>
      </w:tblPr>
      <w:tblGrid>
        <w:gridCol w:w="3116"/>
        <w:gridCol w:w="2549"/>
        <w:gridCol w:w="3685"/>
      </w:tblGrid>
      <w:tr w:rsidR="00747453" w14:paraId="011B1894" w14:textId="77777777" w:rsidTr="00747453">
        <w:tc>
          <w:tcPr>
            <w:tcW w:w="3116" w:type="dxa"/>
          </w:tcPr>
          <w:p w14:paraId="4D8B109C"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p>
        </w:tc>
        <w:tc>
          <w:tcPr>
            <w:tcW w:w="2549" w:type="dxa"/>
          </w:tcPr>
          <w:p w14:paraId="6B090EC8"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sidRPr="00F0307E">
              <w:rPr>
                <w:rFonts w:ascii="Arial" w:hAnsi="Arial" w:cs="Arial"/>
                <w:color w:val="000000"/>
                <w:sz w:val="22"/>
                <w:szCs w:val="22"/>
              </w:rPr>
              <w:t>Total Cohort</w:t>
            </w:r>
            <w:r>
              <w:rPr>
                <w:rFonts w:ascii="Arial" w:hAnsi="Arial" w:cs="Arial"/>
                <w:color w:val="000000"/>
                <w:sz w:val="22"/>
                <w:szCs w:val="22"/>
              </w:rPr>
              <w:t xml:space="preserve"> (14)</w:t>
            </w:r>
          </w:p>
        </w:tc>
        <w:tc>
          <w:tcPr>
            <w:tcW w:w="3685" w:type="dxa"/>
          </w:tcPr>
          <w:p w14:paraId="5588EDE4"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sidRPr="00F0307E">
              <w:rPr>
                <w:rFonts w:ascii="Arial" w:hAnsi="Arial" w:cs="Arial"/>
                <w:color w:val="000000"/>
                <w:sz w:val="22"/>
                <w:szCs w:val="22"/>
              </w:rPr>
              <w:t>Probable</w:t>
            </w:r>
            <w:r>
              <w:rPr>
                <w:rFonts w:ascii="Arial" w:hAnsi="Arial" w:cs="Arial"/>
                <w:color w:val="000000"/>
                <w:sz w:val="22"/>
                <w:szCs w:val="22"/>
              </w:rPr>
              <w:t xml:space="preserve"> </w:t>
            </w:r>
            <w:r w:rsidRPr="00F0307E">
              <w:rPr>
                <w:rFonts w:ascii="Arial" w:hAnsi="Arial" w:cs="Arial"/>
                <w:color w:val="000000"/>
                <w:sz w:val="22"/>
                <w:szCs w:val="22"/>
              </w:rPr>
              <w:t>+</w:t>
            </w:r>
            <w:r>
              <w:rPr>
                <w:rFonts w:ascii="Arial" w:hAnsi="Arial" w:cs="Arial"/>
                <w:color w:val="000000"/>
                <w:sz w:val="22"/>
                <w:szCs w:val="22"/>
              </w:rPr>
              <w:t xml:space="preserve"> </w:t>
            </w:r>
            <w:r w:rsidRPr="00F0307E">
              <w:rPr>
                <w:rFonts w:ascii="Arial" w:hAnsi="Arial" w:cs="Arial"/>
                <w:color w:val="000000"/>
                <w:sz w:val="22"/>
                <w:szCs w:val="22"/>
              </w:rPr>
              <w:t>Definite Cases</w:t>
            </w:r>
            <w:r>
              <w:rPr>
                <w:rFonts w:ascii="Arial" w:hAnsi="Arial" w:cs="Arial"/>
                <w:color w:val="000000"/>
                <w:sz w:val="22"/>
                <w:szCs w:val="22"/>
              </w:rPr>
              <w:t xml:space="preserve"> (10)</w:t>
            </w:r>
          </w:p>
        </w:tc>
      </w:tr>
      <w:tr w:rsidR="00747453" w14:paraId="42475B53" w14:textId="77777777" w:rsidTr="00747453">
        <w:tc>
          <w:tcPr>
            <w:tcW w:w="3116" w:type="dxa"/>
          </w:tcPr>
          <w:p w14:paraId="078A8397"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Cauda equina an uncommon manifestation of NS</w:t>
            </w:r>
          </w:p>
        </w:tc>
        <w:tc>
          <w:tcPr>
            <w:tcW w:w="2549" w:type="dxa"/>
          </w:tcPr>
          <w:p w14:paraId="67E6F692"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14/216, 6.5%</w:t>
            </w:r>
          </w:p>
        </w:tc>
        <w:tc>
          <w:tcPr>
            <w:tcW w:w="3685" w:type="dxa"/>
          </w:tcPr>
          <w:p w14:paraId="228E25A8"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10/216, 4.6%</w:t>
            </w:r>
          </w:p>
        </w:tc>
      </w:tr>
      <w:tr w:rsidR="00747453" w14:paraId="73E75D2B" w14:textId="77777777" w:rsidTr="00747453">
        <w:tc>
          <w:tcPr>
            <w:tcW w:w="3116" w:type="dxa"/>
          </w:tcPr>
          <w:p w14:paraId="468748F5"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More common in females</w:t>
            </w:r>
          </w:p>
        </w:tc>
        <w:tc>
          <w:tcPr>
            <w:tcW w:w="2549" w:type="dxa"/>
          </w:tcPr>
          <w:p w14:paraId="4F06B59F"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12/14, 85.7%</w:t>
            </w:r>
          </w:p>
        </w:tc>
        <w:tc>
          <w:tcPr>
            <w:tcW w:w="3685" w:type="dxa"/>
          </w:tcPr>
          <w:p w14:paraId="4F726DB3"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8/10, 80.0%</w:t>
            </w:r>
          </w:p>
        </w:tc>
      </w:tr>
      <w:tr w:rsidR="00747453" w14:paraId="2ACBFAA1" w14:textId="77777777" w:rsidTr="00747453">
        <w:tc>
          <w:tcPr>
            <w:tcW w:w="3116" w:type="dxa"/>
          </w:tcPr>
          <w:p w14:paraId="0DEE1F1A" w14:textId="77777777" w:rsidR="00747453"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Presence of leptomeningitis</w:t>
            </w:r>
          </w:p>
        </w:tc>
        <w:tc>
          <w:tcPr>
            <w:tcW w:w="2549" w:type="dxa"/>
          </w:tcPr>
          <w:p w14:paraId="032BF241" w14:textId="77777777" w:rsidR="00747453"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Spinal: 14/14, 100.0%</w:t>
            </w:r>
          </w:p>
          <w:p w14:paraId="47F957DE" w14:textId="77777777" w:rsidR="00747453"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Cranial: 10/14, 71.4%</w:t>
            </w:r>
          </w:p>
        </w:tc>
        <w:tc>
          <w:tcPr>
            <w:tcW w:w="3685" w:type="dxa"/>
          </w:tcPr>
          <w:p w14:paraId="43ACB897" w14:textId="77777777" w:rsidR="00747453"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Spinal: 10/10, 100.0%</w:t>
            </w:r>
          </w:p>
          <w:p w14:paraId="54325AA3" w14:textId="77777777" w:rsidR="00747453"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Cranial: 8/10, 80.0%</w:t>
            </w:r>
          </w:p>
        </w:tc>
      </w:tr>
      <w:tr w:rsidR="00747453" w14:paraId="2606AF9F" w14:textId="77777777" w:rsidTr="00747453">
        <w:tc>
          <w:tcPr>
            <w:tcW w:w="3116" w:type="dxa"/>
          </w:tcPr>
          <w:p w14:paraId="6E5ABD0A"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Primary driver of symptoms rather than incidental</w:t>
            </w:r>
          </w:p>
        </w:tc>
        <w:tc>
          <w:tcPr>
            <w:tcW w:w="2549" w:type="dxa"/>
          </w:tcPr>
          <w:p w14:paraId="2A131E92"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12/14, 85.7%</w:t>
            </w:r>
          </w:p>
        </w:tc>
        <w:tc>
          <w:tcPr>
            <w:tcW w:w="3685" w:type="dxa"/>
          </w:tcPr>
          <w:p w14:paraId="3A889D48"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8/10, 80.0%</w:t>
            </w:r>
          </w:p>
        </w:tc>
      </w:tr>
      <w:tr w:rsidR="00747453" w14:paraId="375A628E" w14:textId="77777777" w:rsidTr="00747453">
        <w:tc>
          <w:tcPr>
            <w:tcW w:w="3116" w:type="dxa"/>
          </w:tcPr>
          <w:p w14:paraId="698C1FC8"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Responsiveness to MTX</w:t>
            </w:r>
          </w:p>
        </w:tc>
        <w:tc>
          <w:tcPr>
            <w:tcW w:w="2549" w:type="dxa"/>
          </w:tcPr>
          <w:p w14:paraId="3FAC1E43" w14:textId="77777777" w:rsidR="00747453"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MTX monotherapy: 3/4</w:t>
            </w:r>
          </w:p>
          <w:p w14:paraId="4911CBAD"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MTX/IFX combo: 3/4</w:t>
            </w:r>
          </w:p>
        </w:tc>
        <w:tc>
          <w:tcPr>
            <w:tcW w:w="3685" w:type="dxa"/>
          </w:tcPr>
          <w:p w14:paraId="4ABF95CC" w14:textId="77777777" w:rsidR="00747453"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MTX monotherapy: 2/3</w:t>
            </w:r>
          </w:p>
          <w:p w14:paraId="32E286CE"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MTX/IFX combo: 3/4</w:t>
            </w:r>
          </w:p>
        </w:tc>
      </w:tr>
      <w:tr w:rsidR="00747453" w14:paraId="280377A5" w14:textId="77777777" w:rsidTr="00747453">
        <w:tc>
          <w:tcPr>
            <w:tcW w:w="3116" w:type="dxa"/>
          </w:tcPr>
          <w:p w14:paraId="2183B3A2"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Poor prognostic factor for future recovery, mRS at last follow-up</w:t>
            </w:r>
          </w:p>
        </w:tc>
        <w:tc>
          <w:tcPr>
            <w:tcW w:w="2549" w:type="dxa"/>
          </w:tcPr>
          <w:p w14:paraId="548F23B8"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3.0</w:t>
            </w:r>
          </w:p>
        </w:tc>
        <w:tc>
          <w:tcPr>
            <w:tcW w:w="3685" w:type="dxa"/>
          </w:tcPr>
          <w:p w14:paraId="125A29D4" w14:textId="77777777" w:rsidR="00747453" w:rsidRPr="00F0307E" w:rsidRDefault="00747453" w:rsidP="00F84CE9">
            <w:pPr>
              <w:pStyle w:val="HTMLPreformatted"/>
              <w:spacing w:line="270" w:lineRule="atLeast"/>
              <w:textAlignment w:val="baseline"/>
              <w:rPr>
                <w:rFonts w:ascii="Arial" w:hAnsi="Arial" w:cs="Arial"/>
                <w:color w:val="000000"/>
                <w:sz w:val="22"/>
                <w:szCs w:val="22"/>
              </w:rPr>
            </w:pPr>
            <w:r>
              <w:rPr>
                <w:rFonts w:ascii="Arial" w:hAnsi="Arial" w:cs="Arial"/>
                <w:color w:val="000000"/>
                <w:sz w:val="22"/>
                <w:szCs w:val="22"/>
              </w:rPr>
              <w:t>2.5</w:t>
            </w:r>
          </w:p>
        </w:tc>
      </w:tr>
    </w:tbl>
    <w:p w14:paraId="2811AF50" w14:textId="77777777" w:rsidR="00747453" w:rsidRDefault="00747453"/>
    <w:p w14:paraId="497F56A5" w14:textId="77777777" w:rsidR="00747453" w:rsidRDefault="00747453"/>
    <w:p w14:paraId="352BD5D4" w14:textId="77777777" w:rsidR="00747453" w:rsidRDefault="00747453">
      <w:r>
        <w:t xml:space="preserve">Reference: </w:t>
      </w:r>
    </w:p>
    <w:p w14:paraId="6DB6F058" w14:textId="77777777" w:rsidR="00747453" w:rsidRDefault="00747453"/>
    <w:p w14:paraId="1E2F4101" w14:textId="77777777" w:rsidR="00747453" w:rsidRDefault="00747453" w:rsidP="00747453">
      <w:pPr>
        <w:pStyle w:val="ListParagraph"/>
        <w:numPr>
          <w:ilvl w:val="0"/>
          <w:numId w:val="1"/>
        </w:numPr>
      </w:pPr>
      <w:r w:rsidRPr="002B4105">
        <w:rPr>
          <w:rFonts w:eastAsia="Times New Roman"/>
        </w:rPr>
        <w:t xml:space="preserve">Stern BJ, Royal W, Gelfand JM, </w:t>
      </w:r>
      <w:r w:rsidRPr="00932EA3">
        <w:rPr>
          <w:rFonts w:eastAsia="Times New Roman"/>
          <w:iCs/>
        </w:rPr>
        <w:t>et al.</w:t>
      </w:r>
      <w:r w:rsidRPr="002B4105">
        <w:rPr>
          <w:rFonts w:eastAsia="Times New Roman"/>
        </w:rPr>
        <w:t xml:space="preserve"> Definition and </w:t>
      </w:r>
      <w:r>
        <w:rPr>
          <w:rFonts w:eastAsia="Times New Roman"/>
        </w:rPr>
        <w:t>c</w:t>
      </w:r>
      <w:r w:rsidRPr="002B4105">
        <w:rPr>
          <w:rFonts w:eastAsia="Times New Roman"/>
        </w:rPr>
        <w:t xml:space="preserve">onsensus </w:t>
      </w:r>
      <w:r>
        <w:rPr>
          <w:rFonts w:eastAsia="Times New Roman"/>
        </w:rPr>
        <w:t>d</w:t>
      </w:r>
      <w:r w:rsidRPr="002B4105">
        <w:rPr>
          <w:rFonts w:eastAsia="Times New Roman"/>
        </w:rPr>
        <w:t xml:space="preserve">iagnostic </w:t>
      </w:r>
      <w:r>
        <w:rPr>
          <w:rFonts w:eastAsia="Times New Roman"/>
        </w:rPr>
        <w:t>c</w:t>
      </w:r>
      <w:r w:rsidRPr="002B4105">
        <w:rPr>
          <w:rFonts w:eastAsia="Times New Roman"/>
        </w:rPr>
        <w:t xml:space="preserve">riteria for </w:t>
      </w:r>
      <w:r>
        <w:rPr>
          <w:rFonts w:eastAsia="Times New Roman"/>
        </w:rPr>
        <w:t>n</w:t>
      </w:r>
      <w:r w:rsidRPr="002B4105">
        <w:rPr>
          <w:rFonts w:eastAsia="Times New Roman"/>
        </w:rPr>
        <w:t xml:space="preserve">eurosarcoidosis: </w:t>
      </w:r>
      <w:r>
        <w:rPr>
          <w:rFonts w:eastAsia="Times New Roman"/>
        </w:rPr>
        <w:t>f</w:t>
      </w:r>
      <w:r w:rsidRPr="002B4105">
        <w:rPr>
          <w:rFonts w:eastAsia="Times New Roman"/>
        </w:rPr>
        <w:t xml:space="preserve">rom the </w:t>
      </w:r>
      <w:r>
        <w:rPr>
          <w:rFonts w:eastAsia="Times New Roman"/>
        </w:rPr>
        <w:t>ne</w:t>
      </w:r>
      <w:r w:rsidRPr="002B4105">
        <w:rPr>
          <w:rFonts w:eastAsia="Times New Roman"/>
        </w:rPr>
        <w:t xml:space="preserve">urosarcoidosis </w:t>
      </w:r>
      <w:r>
        <w:rPr>
          <w:rFonts w:eastAsia="Times New Roman"/>
        </w:rPr>
        <w:t>c</w:t>
      </w:r>
      <w:r w:rsidRPr="002B4105">
        <w:rPr>
          <w:rFonts w:eastAsia="Times New Roman"/>
        </w:rPr>
        <w:t xml:space="preserve">onsortium </w:t>
      </w:r>
      <w:r>
        <w:rPr>
          <w:rFonts w:eastAsia="Times New Roman"/>
        </w:rPr>
        <w:t>c</w:t>
      </w:r>
      <w:r w:rsidRPr="002B4105">
        <w:rPr>
          <w:rFonts w:eastAsia="Times New Roman"/>
        </w:rPr>
        <w:t xml:space="preserve">onsensus </w:t>
      </w:r>
      <w:r>
        <w:rPr>
          <w:rFonts w:eastAsia="Times New Roman"/>
        </w:rPr>
        <w:t>g</w:t>
      </w:r>
      <w:r w:rsidRPr="002B4105">
        <w:rPr>
          <w:rFonts w:eastAsia="Times New Roman"/>
        </w:rPr>
        <w:t xml:space="preserve">roup. </w:t>
      </w:r>
      <w:r w:rsidRPr="002B4105">
        <w:rPr>
          <w:rFonts w:eastAsia="Times New Roman"/>
          <w:i/>
          <w:iCs/>
        </w:rPr>
        <w:t>JAMA Neurol</w:t>
      </w:r>
      <w:r>
        <w:rPr>
          <w:rFonts w:eastAsia="Times New Roman"/>
          <w:i/>
          <w:iCs/>
        </w:rPr>
        <w:t>.</w:t>
      </w:r>
      <w:r w:rsidRPr="002B4105">
        <w:rPr>
          <w:rFonts w:eastAsia="Times New Roman"/>
        </w:rPr>
        <w:t xml:space="preserve"> </w:t>
      </w:r>
      <w:proofErr w:type="gramStart"/>
      <w:r w:rsidRPr="002B4105">
        <w:rPr>
          <w:rFonts w:eastAsia="Times New Roman"/>
        </w:rPr>
        <w:t>2018;</w:t>
      </w:r>
      <w:r w:rsidRPr="002B4105">
        <w:rPr>
          <w:rFonts w:eastAsia="Times New Roman"/>
          <w:bCs/>
        </w:rPr>
        <w:t>75</w:t>
      </w:r>
      <w:r w:rsidRPr="002B4105">
        <w:rPr>
          <w:rFonts w:eastAsia="Times New Roman"/>
        </w:rPr>
        <w:t>:1546</w:t>
      </w:r>
      <w:proofErr w:type="gramEnd"/>
      <w:r>
        <w:rPr>
          <w:rFonts w:eastAsia="Times New Roman"/>
        </w:rPr>
        <w:t>-15</w:t>
      </w:r>
      <w:r w:rsidRPr="002B4105">
        <w:rPr>
          <w:rFonts w:eastAsia="Times New Roman"/>
        </w:rPr>
        <w:t>53.</w:t>
      </w:r>
    </w:p>
    <w:sectPr w:rsidR="00747453" w:rsidSect="00DE20E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A026" w14:textId="77777777" w:rsidR="00DC4266" w:rsidRDefault="00DC4266" w:rsidP="008A3970">
      <w:r>
        <w:separator/>
      </w:r>
    </w:p>
  </w:endnote>
  <w:endnote w:type="continuationSeparator" w:id="0">
    <w:p w14:paraId="02EF6F88" w14:textId="77777777" w:rsidR="00DC4266" w:rsidRDefault="00DC4266" w:rsidP="008A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6DD3" w14:textId="77777777" w:rsidR="00DC4266" w:rsidRDefault="00DC4266" w:rsidP="008A3970">
      <w:r>
        <w:separator/>
      </w:r>
    </w:p>
  </w:footnote>
  <w:footnote w:type="continuationSeparator" w:id="0">
    <w:p w14:paraId="56804B1F" w14:textId="77777777" w:rsidR="00DC4266" w:rsidRDefault="00DC4266" w:rsidP="008A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619422"/>
      <w:docPartObj>
        <w:docPartGallery w:val="Page Numbers (Top of Page)"/>
        <w:docPartUnique/>
      </w:docPartObj>
    </w:sdtPr>
    <w:sdtEndPr>
      <w:rPr>
        <w:rStyle w:val="PageNumber"/>
      </w:rPr>
    </w:sdtEndPr>
    <w:sdtContent>
      <w:p w14:paraId="5BDB3EE4" w14:textId="381221E0" w:rsidR="008A3970" w:rsidRDefault="008A3970" w:rsidP="00FE50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09001" w14:textId="77777777" w:rsidR="008A3970" w:rsidRDefault="008A3970" w:rsidP="008A39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5831202"/>
      <w:docPartObj>
        <w:docPartGallery w:val="Page Numbers (Top of Page)"/>
        <w:docPartUnique/>
      </w:docPartObj>
    </w:sdtPr>
    <w:sdtEndPr>
      <w:rPr>
        <w:rStyle w:val="PageNumber"/>
      </w:rPr>
    </w:sdtEndPr>
    <w:sdtContent>
      <w:p w14:paraId="5D7D0DBC" w14:textId="13458447" w:rsidR="008A3970" w:rsidRDefault="008A3970" w:rsidP="00FE50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EF1863" w14:textId="77777777" w:rsidR="008A3970" w:rsidRDefault="008A3970" w:rsidP="008A397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004C"/>
    <w:multiLevelType w:val="hybridMultilevel"/>
    <w:tmpl w:val="BEE6F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53"/>
    <w:rsid w:val="00747453"/>
    <w:rsid w:val="008A3970"/>
    <w:rsid w:val="009B5901"/>
    <w:rsid w:val="00C73375"/>
    <w:rsid w:val="00C84FC5"/>
    <w:rsid w:val="00DC4266"/>
    <w:rsid w:val="00DE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58C6"/>
  <w14:defaultImageDpi w14:val="32767"/>
  <w15:chartTrackingRefBased/>
  <w15:docId w15:val="{EEF0FA3C-6CEA-884D-8711-1FD7CCD9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7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45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74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7453"/>
    <w:rPr>
      <w:rFonts w:ascii="Courier New" w:eastAsia="Times New Roman" w:hAnsi="Courier New" w:cs="Courier New"/>
      <w:sz w:val="20"/>
      <w:szCs w:val="20"/>
    </w:rPr>
  </w:style>
  <w:style w:type="table" w:styleId="TableGrid">
    <w:name w:val="Table Grid"/>
    <w:basedOn w:val="TableNormal"/>
    <w:uiPriority w:val="39"/>
    <w:rsid w:val="0074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453"/>
    <w:pPr>
      <w:ind w:left="720"/>
      <w:contextualSpacing/>
    </w:pPr>
  </w:style>
  <w:style w:type="paragraph" w:styleId="Header">
    <w:name w:val="header"/>
    <w:basedOn w:val="Normal"/>
    <w:link w:val="HeaderChar"/>
    <w:uiPriority w:val="99"/>
    <w:unhideWhenUsed/>
    <w:rsid w:val="008A3970"/>
    <w:pPr>
      <w:tabs>
        <w:tab w:val="center" w:pos="4680"/>
        <w:tab w:val="right" w:pos="9360"/>
      </w:tabs>
    </w:pPr>
  </w:style>
  <w:style w:type="character" w:customStyle="1" w:styleId="HeaderChar">
    <w:name w:val="Header Char"/>
    <w:basedOn w:val="DefaultParagraphFont"/>
    <w:link w:val="Header"/>
    <w:uiPriority w:val="99"/>
    <w:rsid w:val="008A3970"/>
  </w:style>
  <w:style w:type="paragraph" w:styleId="Footer">
    <w:name w:val="footer"/>
    <w:basedOn w:val="Normal"/>
    <w:link w:val="FooterChar"/>
    <w:uiPriority w:val="99"/>
    <w:unhideWhenUsed/>
    <w:rsid w:val="008A3970"/>
    <w:pPr>
      <w:tabs>
        <w:tab w:val="center" w:pos="4680"/>
        <w:tab w:val="right" w:pos="9360"/>
      </w:tabs>
    </w:pPr>
  </w:style>
  <w:style w:type="character" w:customStyle="1" w:styleId="FooterChar">
    <w:name w:val="Footer Char"/>
    <w:basedOn w:val="DefaultParagraphFont"/>
    <w:link w:val="Footer"/>
    <w:uiPriority w:val="99"/>
    <w:rsid w:val="008A3970"/>
  </w:style>
  <w:style w:type="character" w:styleId="PageNumber">
    <w:name w:val="page number"/>
    <w:basedOn w:val="DefaultParagraphFont"/>
    <w:uiPriority w:val="99"/>
    <w:semiHidden/>
    <w:unhideWhenUsed/>
    <w:rsid w:val="008A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7200">
      <w:bodyDiv w:val="1"/>
      <w:marLeft w:val="0"/>
      <w:marRight w:val="0"/>
      <w:marTop w:val="0"/>
      <w:marBottom w:val="0"/>
      <w:divBdr>
        <w:top w:val="none" w:sz="0" w:space="0" w:color="auto"/>
        <w:left w:val="none" w:sz="0" w:space="0" w:color="auto"/>
        <w:bottom w:val="none" w:sz="0" w:space="0" w:color="auto"/>
        <w:right w:val="none" w:sz="0" w:space="0" w:color="auto"/>
      </w:divBdr>
      <w:divsChild>
        <w:div w:id="1639451406">
          <w:marLeft w:val="0"/>
          <w:marRight w:val="0"/>
          <w:marTop w:val="0"/>
          <w:marBottom w:val="0"/>
          <w:divBdr>
            <w:top w:val="none" w:sz="0" w:space="0" w:color="auto"/>
            <w:left w:val="none" w:sz="0" w:space="0" w:color="auto"/>
            <w:bottom w:val="none" w:sz="0" w:space="0" w:color="auto"/>
            <w:right w:val="none" w:sz="0" w:space="0" w:color="auto"/>
          </w:divBdr>
          <w:divsChild>
            <w:div w:id="906455046">
              <w:marLeft w:val="0"/>
              <w:marRight w:val="0"/>
              <w:marTop w:val="0"/>
              <w:marBottom w:val="0"/>
              <w:divBdr>
                <w:top w:val="none" w:sz="0" w:space="0" w:color="auto"/>
                <w:left w:val="none" w:sz="0" w:space="0" w:color="auto"/>
                <w:bottom w:val="none" w:sz="0" w:space="0" w:color="auto"/>
                <w:right w:val="none" w:sz="0" w:space="0" w:color="auto"/>
              </w:divBdr>
              <w:divsChild>
                <w:div w:id="1334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Hutto</dc:creator>
  <cp:keywords/>
  <dc:description/>
  <cp:lastModifiedBy>Morgan Sorenson</cp:lastModifiedBy>
  <cp:revision>2</cp:revision>
  <dcterms:created xsi:type="dcterms:W3CDTF">2022-03-10T17:50:00Z</dcterms:created>
  <dcterms:modified xsi:type="dcterms:W3CDTF">2022-03-10T17:50:00Z</dcterms:modified>
</cp:coreProperties>
</file>