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2F" w:rsidRPr="000E4074" w:rsidRDefault="000E4074" w:rsidP="003F072F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>Supplementary text describing</w:t>
      </w:r>
      <w:r w:rsidR="00E01303" w:rsidRPr="000E4074">
        <w:rPr>
          <w:b/>
          <w:lang w:val="en-US"/>
        </w:rPr>
        <w:t xml:space="preserve"> </w:t>
      </w:r>
      <w:r>
        <w:rPr>
          <w:b/>
          <w:lang w:val="en-US"/>
        </w:rPr>
        <w:t>WES filte</w:t>
      </w:r>
      <w:r w:rsidR="00E01303" w:rsidRPr="000E4074">
        <w:rPr>
          <w:b/>
          <w:lang w:val="en-US"/>
        </w:rPr>
        <w:t xml:space="preserve">ring strategy </w:t>
      </w:r>
    </w:p>
    <w:p w:rsidR="00716961" w:rsidRPr="000E4074" w:rsidRDefault="003F072F" w:rsidP="003F072F">
      <w:pPr>
        <w:rPr>
          <w:lang w:val="en-US"/>
        </w:rPr>
      </w:pPr>
      <w:r w:rsidRPr="000E4074">
        <w:rPr>
          <w:lang w:val="en-US"/>
        </w:rPr>
        <w:t xml:space="preserve">Starting with 126,642 variants spanning 16,843 genes, variants </w:t>
      </w:r>
      <w:proofErr w:type="gramStart"/>
      <w:r w:rsidRPr="000E4074">
        <w:rPr>
          <w:lang w:val="en-US"/>
        </w:rPr>
        <w:t>were kept</w:t>
      </w:r>
      <w:proofErr w:type="gramEnd"/>
      <w:r w:rsidRPr="000E4074">
        <w:rPr>
          <w:lang w:val="en-US"/>
        </w:rPr>
        <w:t xml:space="preserve"> with call quality at least 20.0, with read depth at least 5.0, with allele fraction at least 25.0, with genotype quality at least 25.0, outside top 5.0% most </w:t>
      </w:r>
      <w:proofErr w:type="spellStart"/>
      <w:r w:rsidRPr="000E4074">
        <w:rPr>
          <w:lang w:val="en-US"/>
        </w:rPr>
        <w:t>exonically</w:t>
      </w:r>
      <w:proofErr w:type="spellEnd"/>
      <w:r w:rsidRPr="000E4074">
        <w:rPr>
          <w:lang w:val="en-US"/>
        </w:rPr>
        <w:t xml:space="preserve"> variable 100base wind</w:t>
      </w:r>
      <w:r w:rsidR="00716961" w:rsidRPr="000E4074">
        <w:rPr>
          <w:lang w:val="en-US"/>
        </w:rPr>
        <w:t xml:space="preserve">ows in healthy public genomes, </w:t>
      </w:r>
      <w:r w:rsidRPr="000E4074">
        <w:rPr>
          <w:lang w:val="en-US"/>
        </w:rPr>
        <w:t xml:space="preserve">outside top 1.0% most </w:t>
      </w:r>
      <w:proofErr w:type="spellStart"/>
      <w:r w:rsidRPr="000E4074">
        <w:rPr>
          <w:lang w:val="en-US"/>
        </w:rPr>
        <w:t>exonically</w:t>
      </w:r>
      <w:proofErr w:type="spellEnd"/>
      <w:r w:rsidRPr="000E4074">
        <w:rPr>
          <w:lang w:val="en-US"/>
        </w:rPr>
        <w:t xml:space="preserve"> variable genes in healthy public genomes. Excluded variants that are observed with an allele frequency greater than or equal to 1.0% of the genomes in the 1000 genomes </w:t>
      </w:r>
      <w:proofErr w:type="spellStart"/>
      <w:r w:rsidRPr="000E4074">
        <w:rPr>
          <w:lang w:val="en-US"/>
        </w:rPr>
        <w:t>projec</w:t>
      </w:r>
      <w:proofErr w:type="spellEnd"/>
      <w:r w:rsidRPr="000E4074">
        <w:rPr>
          <w:lang w:val="en-US"/>
        </w:rPr>
        <w:t xml:space="preserve">, greater than or equal to 1.0% of the NHLBI ESP exomes, greater than or equal to 1.0% of the </w:t>
      </w:r>
      <w:proofErr w:type="spellStart"/>
      <w:r w:rsidRPr="000E4074">
        <w:rPr>
          <w:lang w:val="en-US"/>
        </w:rPr>
        <w:t>ExAC</w:t>
      </w:r>
      <w:proofErr w:type="spellEnd"/>
      <w:r w:rsidRPr="000E4074">
        <w:rPr>
          <w:lang w:val="en-US"/>
        </w:rPr>
        <w:t xml:space="preserve"> Frequency, or greater than or equal to 1.0% of the </w:t>
      </w:r>
      <w:proofErr w:type="spellStart"/>
      <w:r w:rsidRPr="000E4074">
        <w:rPr>
          <w:lang w:val="en-US"/>
        </w:rPr>
        <w:t>gnomAD</w:t>
      </w:r>
      <w:proofErr w:type="spellEnd"/>
      <w:r w:rsidRPr="000E4074">
        <w:rPr>
          <w:lang w:val="en-US"/>
        </w:rPr>
        <w:t xml:space="preserve"> Frequency. </w:t>
      </w:r>
      <w:r w:rsidR="00716961" w:rsidRPr="000E4074">
        <w:rPr>
          <w:lang w:val="en-US"/>
        </w:rPr>
        <w:t xml:space="preserve">Kept </w:t>
      </w:r>
      <w:r w:rsidRPr="000E4074">
        <w:rPr>
          <w:lang w:val="en-US"/>
        </w:rPr>
        <w:t xml:space="preserve">variants that are experimentally observed to be associated with a phenotype: Pathogenic, Possibly </w:t>
      </w:r>
      <w:proofErr w:type="gramStart"/>
      <w:r w:rsidRPr="000E4074">
        <w:rPr>
          <w:lang w:val="en-US"/>
        </w:rPr>
        <w:t>Pathogenic</w:t>
      </w:r>
      <w:proofErr w:type="gramEnd"/>
      <w:r w:rsidRPr="000E4074">
        <w:rPr>
          <w:lang w:val="en-US"/>
        </w:rPr>
        <w:t xml:space="preserve">, disease-associated according to HGMD or CLINVAR, or variants that are Frameshift, in-frame </w:t>
      </w:r>
      <w:proofErr w:type="spellStart"/>
      <w:r w:rsidRPr="000E4074">
        <w:rPr>
          <w:lang w:val="en-US"/>
        </w:rPr>
        <w:t>indel</w:t>
      </w:r>
      <w:proofErr w:type="spellEnd"/>
      <w:r w:rsidRPr="000E4074">
        <w:rPr>
          <w:lang w:val="en-US"/>
        </w:rPr>
        <w:t xml:space="preserve">, stop codon change, or missense unless predicted to be innocuous by SIFT or Polyphen-2, or variants that disrupt splice site up to 2.0 bases into intron. </w:t>
      </w:r>
      <w:r w:rsidR="001A2399" w:rsidRPr="000E4074">
        <w:rPr>
          <w:lang w:val="en-US"/>
        </w:rPr>
        <w:t xml:space="preserve">Finally, </w:t>
      </w:r>
      <w:proofErr w:type="spellStart"/>
      <w:r w:rsidRPr="000E4074">
        <w:rPr>
          <w:lang w:val="en-US"/>
        </w:rPr>
        <w:t>ariants</w:t>
      </w:r>
      <w:proofErr w:type="spellEnd"/>
      <w:r w:rsidRPr="000E4074">
        <w:rPr>
          <w:lang w:val="en-US"/>
        </w:rPr>
        <w:t xml:space="preserve"> that </w:t>
      </w:r>
      <w:proofErr w:type="gramStart"/>
      <w:r w:rsidRPr="000E4074">
        <w:rPr>
          <w:lang w:val="en-US"/>
        </w:rPr>
        <w:t>are predicted</w:t>
      </w:r>
      <w:proofErr w:type="gramEnd"/>
      <w:r w:rsidRPr="000E4074">
        <w:rPr>
          <w:lang w:val="en-US"/>
        </w:rPr>
        <w:t xml:space="preserve"> deleterious by having CADD score &gt; 20</w:t>
      </w:r>
      <w:r w:rsidR="001A2399" w:rsidRPr="000E4074">
        <w:rPr>
          <w:lang w:val="en-US"/>
        </w:rPr>
        <w:t xml:space="preserve"> were kept</w:t>
      </w:r>
      <w:r w:rsidRPr="000E4074">
        <w:rPr>
          <w:lang w:val="en-US"/>
        </w:rPr>
        <w:t xml:space="preserve">. </w:t>
      </w:r>
    </w:p>
    <w:p w:rsidR="001A2399" w:rsidRPr="000E4074" w:rsidRDefault="001A2399" w:rsidP="003F072F">
      <w:pPr>
        <w:rPr>
          <w:color w:val="000000" w:themeColor="text1"/>
          <w:lang w:val="en-US"/>
        </w:rPr>
      </w:pPr>
      <w:r w:rsidRPr="000E4074">
        <w:rPr>
          <w:color w:val="000000" w:themeColor="text1"/>
          <w:lang w:val="en-US"/>
        </w:rPr>
        <w:t xml:space="preserve">Additional filtering strategy included keeping variants within the criteria described above </w:t>
      </w:r>
      <w:r w:rsidR="003F072F" w:rsidRPr="000E4074">
        <w:rPr>
          <w:color w:val="000000" w:themeColor="text1"/>
          <w:lang w:val="en-US"/>
        </w:rPr>
        <w:t xml:space="preserve">that </w:t>
      </w:r>
      <w:proofErr w:type="gramStart"/>
      <w:r w:rsidR="003F072F" w:rsidRPr="000E4074">
        <w:rPr>
          <w:color w:val="000000" w:themeColor="text1"/>
          <w:lang w:val="en-US"/>
        </w:rPr>
        <w:t>are known or predicted to affect</w:t>
      </w:r>
      <w:r w:rsidRPr="000E4074">
        <w:rPr>
          <w:color w:val="000000" w:themeColor="text1"/>
          <w:lang w:val="en-US"/>
        </w:rPr>
        <w:t xml:space="preserve"> various viral processes or antiviral responses broadly,</w:t>
      </w:r>
      <w:proofErr w:type="gramEnd"/>
      <w:r w:rsidRPr="000E4074">
        <w:rPr>
          <w:color w:val="000000" w:themeColor="text1"/>
          <w:lang w:val="en-US"/>
        </w:rPr>
        <w:t xml:space="preserve"> including</w:t>
      </w:r>
      <w:r w:rsidR="003F072F" w:rsidRPr="000E4074">
        <w:rPr>
          <w:color w:val="000000" w:themeColor="text1"/>
          <w:lang w:val="en-US"/>
        </w:rPr>
        <w:t xml:space="preserve">: </w:t>
      </w:r>
    </w:p>
    <w:p w:rsidR="003F072F" w:rsidRPr="000E4074" w:rsidRDefault="003F072F" w:rsidP="003F072F">
      <w:pPr>
        <w:rPr>
          <w:color w:val="000000" w:themeColor="text1"/>
          <w:lang w:val="en-US"/>
        </w:rPr>
      </w:pPr>
      <w:proofErr w:type="gramStart"/>
      <w:r w:rsidRPr="000E4074">
        <w:rPr>
          <w:color w:val="000000" w:themeColor="text1"/>
          <w:lang w:val="en-US"/>
        </w:rPr>
        <w:t xml:space="preserve">ADAR1 , AIM2, AMFR, APOBEC3G, ATF2, ATM, BST2 , BTK, CASP1, CASP10 , CASP8 , CD74, CHUK , CIITA , CXCL10 , CXCL11 , CXCL9 , DDX41 , DDX58, DDX60 , DHX36, DHX58 , DHX9 , DNA viruses deactivation (inactivation of DNA virus), DNA viruses inhibition (inhibition of DNA virus) (affected genes: APOBEC3G, BST2, CAV1, CAV3, IFNB1, IFNG, IL6, NCOR1, SLC10A1, SP100, TNF, TRIM5), DOCK2, DOCK8 , GATA2 , GBP1, GBP2, HPSE, IFI16, IFI6, IFIH1, IFIT1, IFIT2 , IFIT3, IFITM1 , IFITM2, IFITM3, IFNA1 , IFNA10 , IFNA13  , IFNA14, IFNA16, IFNA17 , IFNA2, IFNA21, IFNA4, IFNA5, IFNA6, IFNA7 , IFNA8, IFNAR1, IFNAR2, IFNB1 , IFNG , IFNGR1 , IFNGR2, IFNL1 , IFNL2 , IFNL3 , IFNL4, IFNLR1, IKBKB, IKBKE, IKBKG, IL10RB , IL1RN , IRAK1, IRAK2 , IRAK4, IRF1, IRF3, IRF5, IRF7, IRF8, IRF9, ISG15, ISG2,IFNA4, JAK1 , JAK2, JAK3 , MAP3K14 , MAVS, MB21D1, MRE11, MX1, MX2, MYD88, NAMPT, NFKB2, NFKBIA, NHEJ1, NLRP12, NLRP2, NLRP3, NOD2, OAS1, OAS2, OAS3, OASL, PRKRA, RBBP6, PGM3, EIF2AK2, PKLR, POLR3A, POLR3B, POLR3C, POLR3D, POLR3E, POLR3F, POLR3G, POLR3GL, POLR3H, POLR3K, PRKDC, PYCARD, RELA, RHBDF2, RIPK1, RIPK3, RNASEH2A, RNASEH2B, RNASEH2C, RNASEL, RNF135, RTP4, SAMHD1, STAT1, STAT2, STAT3, STAT4, STAT5A, STAT5B, TANK , TBK1 , TICAM1 , TICAM2, TIRAP , TLR2, TLR3, TLR4 , TLR7, TLR8, TLR9, TMEM173, TRAF3, TRAF6, TREX1, PML, TRIM21, TRIM22, TRIM25, TRIM32, TRIM5, TYK2, UNC93B1, VPS45, VZV replication (replication of human herpesvirus 3) (affected genes: BCL2L11), XIAP, XRCC5, XRCC6 , ZBP1, ZDHHC1, </w:t>
      </w:r>
      <w:proofErr w:type="spellStart"/>
      <w:r w:rsidRPr="000E4074">
        <w:rPr>
          <w:color w:val="000000" w:themeColor="text1"/>
          <w:lang w:val="en-US"/>
        </w:rPr>
        <w:t>encephalomeningitides</w:t>
      </w:r>
      <w:proofErr w:type="spellEnd"/>
      <w:r w:rsidRPr="000E4074">
        <w:rPr>
          <w:color w:val="000000" w:themeColor="text1"/>
          <w:lang w:val="en-US"/>
        </w:rPr>
        <w:t xml:space="preserve"> (meningoencephalitis) (affected genes: APP, IFNG), infection by DNA virus (affected genes: ACTA1, ACTA2, ACTB, ACTC1, ACTG1, ACTG2, ADA, ADAR, ADCY10, ADK, AKT1S1, AKT2, ANXA1, APAF1, APOE, APP, ATM, C2, C3, C4A/C4B, C5, CAV1, CCL2, CCL3, CCL3L3, CCL4, CCL5, CD209, CD274, CD40, CD40LG, CD46, CD70, CD79A, CD79B, CDC42, CH25H, CHRNA10, CISH, CLIP1, CRP, CSF1, CSF2RA, CSF2RB, CSF3R, CTBP1, CXADR, CXCL1, CXCL10, CXCL8, CXCL9, CXCR2, CYP1A2, CYP3A4, CYP3A43, CYP3A5, CYP3A7, CYP3A7-CYP3A51P, DCTN1, DEFB1, DEFB103A/DEFB103B, DNM1, DNM1L, DNM2, DNM3, EGFR, EIF2AK2, EIF2AK4, EPS15, F10, F2, F2R, F3, F7, F9, FASLG, FCGR1A, FCGR1B, FCGR2A, FCGR2B, FCGR2C, FCGR3A/FCGR3B, FGF4, FGFR1, FGFR2, FGFR3, FGFR4, FKBP1A, FLT3LG, FRS2, GAB1, GNB1L, GOT1, GOT1L1, GOT2, GPT, GPT2, GRB2, GRIN3A, HMGCR, HRAS, HS3ST1, HTR2A, IFNA1/IFNA13, IFNA10, IFNA14, IFNA16, IFNA17, IFNA2, IFNA21, IFNA4, IFNA5, IFNA6, IFNA7, IFNA8, IFNAR1, IFNAR2, IFNB1, IFNGR1, IFNL2, IFNL3, IFNLR1, IGF2R, IL10, IL10RB, IL15, IL17A, IL17RA, IL18, IL1RN, IL23A, IL23R, IL2RA, IL2RB, IL2RG, IL3RA, IL6, ILF3, IMPDH1, IMPDH2, IRAK4, IRF1, IRF3, IRS1, IRS2, ITGB1, ITK, KL, KLB, LGALS1, LTA, LTB, MAGT1, MAPRE1, MAVS, </w:t>
      </w:r>
      <w:r w:rsidRPr="000E4074">
        <w:rPr>
          <w:color w:val="000000" w:themeColor="text1"/>
          <w:lang w:val="en-US"/>
        </w:rPr>
        <w:lastRenderedPageBreak/>
        <w:t>MCAM, MLST8, MR1, MTOR, MX1, MYD88, NECTIN1, NFKBIZ, NLRX1, NOS2, NR3C1, OPRD1, OPRK1, OPRM1, PAK1, PDCD1, PDGFA, PDGFB, PI3, PIK3C2A, PIK3C2B, PIK3C2G, PIK3C3, PIK3CA, PIK3CB, PIK3CD, PIK3CG, PIK3R1, PIK3R2, PIK3R3, PIK3R4, PIK3R5, PIK3R6, PLCG2, POLA1, POLB, POLD1, POLG, PPP3CA, PPP3CB, PPP3CC, PRF1, PRKCA, PRKCB, PRKCD, PRKCE, PRKCG, PRKCH, PRKCI, PRKCQ, PRKCZ, PRKD1, PRKD3, PRKRA, PRNP, PTGS1, PTGS2, PTPN11, RAB5A, RAB5B, RAB5C, RAC1, RARA, RASSF1, RPTOR, RXRA, SAMD9, SLC10A1, SLC22A11, SLC22A12, SLC22A6, SLC22A8, SLC6A2, SLC6A4, ST3GAL5, ST6GAL1, STAT1, STAT6, TBK1, TGFB1, TICAM1, TIMP1, TK1, TK2, TLR2, TLR3, TLR7, TLR9, TMEM2, TNF, TNFRSF10B, TNFRSF14, TNFRSF4, TNFSF10, TNFSF11, TNFSF12, TNFSF12-TNFSF13, TNFSF13, TNFSF13B, TNFSF14, TNFSF15, TNFSF18, TNFSF4, TNFSF8, TNFSF9, TP73, TRAF3, TRIM21, TRPV1, TYK2, TYMS, UNC93B1, VIP), infection by VZV (infection by human herpesvirus 3) (affected genes: IGF2R), meningitides (inflammation of meninges) (affected genes: ANXA1, APP, CASP1, CD40LG, CD47, CD70, CST3, CTSB, CYP51A1, DHFR, EGFR, ERBB2, F5, F8, FASLG, FCGR2B, FN1, GABRA1, GABRA3, GABRA4, GABRA5, GABRA6, GABRB1, GABRB2, GABRB3, GABRE, GABRG1, GABRG2, GABRG3, GABRP, IFNG, IL18, IL1B, IL1R1, IRAK4, LTA, LTB, MC2R, NFKB1, NFKB2, NLRP3, NOD1, NOD2, NR3C1, POLA1, POLB, POLD1, POLG, PYCARD, REL, RELA, RELB, SCN1A, SCN1B, SCN5A, SERPINE1, SLC6A4, TIRAP, TLR1, TLR2, TLR4, TLR9, TNF, TNFRSF1A, TNFRSF1B, TNFSF10, TNFSF11, TNFSF12, TNFSF12-TNFSF13, TNFSF13, TNFSF13B, TNFSF14, TNFSF15, TNFSF18, TNFSF4, TNFSF8, TNFSF9, TOB1, TYMS).</w:t>
      </w:r>
      <w:proofErr w:type="gramEnd"/>
    </w:p>
    <w:p w:rsidR="003E6C38" w:rsidRPr="000E4074" w:rsidRDefault="003E6C38" w:rsidP="00403C5A">
      <w:pPr>
        <w:rPr>
          <w:color w:val="000000" w:themeColor="text1"/>
          <w:lang w:val="en-US"/>
        </w:rPr>
      </w:pPr>
    </w:p>
    <w:sectPr w:rsidR="003E6C38" w:rsidRPr="000E40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A"/>
    <w:rsid w:val="00021219"/>
    <w:rsid w:val="000E4074"/>
    <w:rsid w:val="00107728"/>
    <w:rsid w:val="001A2399"/>
    <w:rsid w:val="002113D0"/>
    <w:rsid w:val="003E6C38"/>
    <w:rsid w:val="003F072F"/>
    <w:rsid w:val="00403C5A"/>
    <w:rsid w:val="00591AC9"/>
    <w:rsid w:val="005B603B"/>
    <w:rsid w:val="00647286"/>
    <w:rsid w:val="00716961"/>
    <w:rsid w:val="007A13FE"/>
    <w:rsid w:val="00AA140B"/>
    <w:rsid w:val="00BD2D60"/>
    <w:rsid w:val="00DA324B"/>
    <w:rsid w:val="00E01303"/>
    <w:rsid w:val="00E12CA5"/>
    <w:rsid w:val="00EB0694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D76B-2028-4300-B683-66482F32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3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5A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3E6C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1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4840</Characters>
  <Application>Microsoft Office Word</Application>
  <DocSecurity>0</DocSecurity>
  <Lines>403</Lines>
  <Paragraphs>294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</dc:creator>
  <cp:lastModifiedBy>Søren Riis Paludan</cp:lastModifiedBy>
  <cp:revision>2</cp:revision>
  <dcterms:created xsi:type="dcterms:W3CDTF">2018-01-04T09:32:00Z</dcterms:created>
  <dcterms:modified xsi:type="dcterms:W3CDTF">2018-01-04T09:32:00Z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