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55B4" w14:textId="7492BDE8" w:rsidR="004C3EA4" w:rsidRPr="00957F78" w:rsidRDefault="00520777" w:rsidP="004C3EA4">
      <w:pPr>
        <w:ind w:left="-426"/>
        <w:rPr>
          <w:rFonts w:ascii="Cambria" w:hAnsi="Cambria"/>
        </w:rPr>
      </w:pPr>
      <w:proofErr w:type="spellStart"/>
      <w:r>
        <w:rPr>
          <w:rStyle w:val="normaltextrun"/>
          <w:rFonts w:ascii="Cambria" w:hAnsi="Cambria" w:cstheme="majorBidi"/>
          <w:b/>
          <w:bCs/>
          <w:color w:val="000000"/>
          <w:shd w:val="clear" w:color="auto" w:fill="FFFFFF"/>
          <w:lang w:val="en-US"/>
        </w:rPr>
        <w:t>eT</w:t>
      </w:r>
      <w:r w:rsidR="004C3EA4">
        <w:rPr>
          <w:rStyle w:val="normaltextrun"/>
          <w:rFonts w:ascii="Cambria" w:hAnsi="Cambria" w:cstheme="majorBidi"/>
          <w:b/>
          <w:bCs/>
          <w:color w:val="000000"/>
          <w:shd w:val="clear" w:color="auto" w:fill="FFFFFF"/>
          <w:lang w:val="en-US"/>
        </w:rPr>
        <w:t>able</w:t>
      </w:r>
      <w:proofErr w:type="spellEnd"/>
      <w:r w:rsidR="004462E0">
        <w:rPr>
          <w:rStyle w:val="normaltextrun"/>
          <w:rFonts w:ascii="Cambria" w:hAnsi="Cambria" w:cstheme="majorBidi"/>
          <w:b/>
          <w:bCs/>
          <w:color w:val="000000"/>
          <w:shd w:val="clear" w:color="auto" w:fill="FFFFFF"/>
          <w:lang w:val="en-US"/>
        </w:rPr>
        <w:t xml:space="preserve"> 1</w:t>
      </w:r>
      <w:r w:rsidR="004C3EA4" w:rsidRPr="00957F78">
        <w:rPr>
          <w:rStyle w:val="normaltextrun"/>
          <w:rFonts w:ascii="Cambria" w:hAnsi="Cambria" w:cstheme="majorBidi"/>
          <w:color w:val="000000"/>
          <w:shd w:val="clear" w:color="auto" w:fill="FFFFFF"/>
          <w:lang w:val="en-US"/>
        </w:rPr>
        <w:t>. </w:t>
      </w:r>
      <w:r w:rsidR="004C3EA4" w:rsidRPr="00957F78">
        <w:rPr>
          <w:rStyle w:val="normaltextrun"/>
          <w:rFonts w:ascii="Cambria" w:hAnsi="Cambria" w:cstheme="majorBidi"/>
          <w:color w:val="000000"/>
          <w:bdr w:val="none" w:sz="0" w:space="0" w:color="auto" w:frame="1"/>
          <w:lang w:val="en-US"/>
        </w:rPr>
        <w:t>Annualized change of retinal layers thicknesses in RRMS converters to SPMS before conversion compared to RRMS non-converters (controls)</w:t>
      </w:r>
      <w:r w:rsidR="004C3EA4" w:rsidRPr="00A94016">
        <w:rPr>
          <w:rStyle w:val="normaltextrun"/>
          <w:rFonts w:ascii="Cambria" w:hAnsi="Cambria" w:cstheme="majorBidi"/>
          <w:color w:val="000000"/>
          <w:bdr w:val="none" w:sz="0" w:space="0" w:color="auto" w:frame="1"/>
          <w:lang w:val="en-US"/>
        </w:rPr>
        <w:t xml:space="preserve"> </w:t>
      </w:r>
      <w:r w:rsidR="004C3EA4" w:rsidRPr="00A94016">
        <w:rPr>
          <w:rStyle w:val="normaltextrun"/>
          <w:rFonts w:ascii="Cambria" w:hAnsi="Cambria" w:cstheme="majorBidi"/>
          <w:bCs/>
          <w:color w:val="000000"/>
          <w:bdr w:val="none" w:sz="0" w:space="0" w:color="auto" w:frame="1"/>
          <w:lang w:val="en-US"/>
        </w:rPr>
        <w:t>excluding eyes with history of optic neuritis</w:t>
      </w:r>
      <w:r w:rsidR="004C3EA4" w:rsidRPr="00A94016">
        <w:rPr>
          <w:rStyle w:val="normaltextrun"/>
          <w:rFonts w:ascii="Cambria" w:hAnsi="Cambria" w:cstheme="majorBidi"/>
          <w:color w:val="000000"/>
          <w:bdr w:val="none" w:sz="0" w:space="0" w:color="auto" w:frame="1"/>
          <w:lang w:val="en-US"/>
        </w:rPr>
        <w:t xml:space="preserve"> </w:t>
      </w:r>
      <w:r w:rsidR="004C3EA4" w:rsidRPr="00A94016">
        <w:rPr>
          <w:rStyle w:val="normaltextrun"/>
          <w:rFonts w:ascii="Cambria" w:hAnsi="Cambria" w:cstheme="majorBidi"/>
          <w:color w:val="000000"/>
          <w:shd w:val="clear" w:color="auto" w:fill="FFFFFF"/>
          <w:lang w:val="en-US"/>
        </w:rPr>
        <w:t>(10 eyes from the converters and</w:t>
      </w:r>
      <w:r w:rsidR="00A94016">
        <w:rPr>
          <w:rStyle w:val="normaltextrun"/>
          <w:rFonts w:ascii="Cambria" w:hAnsi="Cambria" w:cstheme="majorBidi"/>
          <w:color w:val="000000"/>
          <w:shd w:val="clear" w:color="auto" w:fill="FFFFFF"/>
          <w:lang w:val="en-US"/>
        </w:rPr>
        <w:t xml:space="preserve"> 6 eyes from</w:t>
      </w:r>
      <w:r w:rsidR="004C3EA4" w:rsidRPr="00A94016">
        <w:rPr>
          <w:rStyle w:val="normaltextrun"/>
          <w:rFonts w:ascii="Cambria" w:hAnsi="Cambria" w:cstheme="majorBidi"/>
          <w:color w:val="000000"/>
          <w:shd w:val="clear" w:color="auto" w:fill="FFFFFF"/>
          <w:lang w:val="en-US"/>
        </w:rPr>
        <w:t xml:space="preserve"> </w:t>
      </w:r>
      <w:r w:rsidR="00A94016">
        <w:rPr>
          <w:rStyle w:val="normaltextrun"/>
          <w:rFonts w:ascii="Cambria" w:hAnsi="Cambria" w:cstheme="majorBidi"/>
          <w:color w:val="000000"/>
          <w:shd w:val="clear" w:color="auto" w:fill="FFFFFF"/>
          <w:lang w:val="en-US"/>
        </w:rPr>
        <w:t>non-converters</w:t>
      </w:r>
      <w:r w:rsidR="004C3EA4" w:rsidRPr="00A94016">
        <w:rPr>
          <w:rStyle w:val="normaltextrun"/>
          <w:rFonts w:ascii="Cambria" w:hAnsi="Cambria" w:cstheme="majorBidi"/>
          <w:color w:val="000000"/>
          <w:shd w:val="clear" w:color="auto" w:fill="FFFFFF"/>
          <w:lang w:val="en-US"/>
        </w:rPr>
        <w:t>)</w:t>
      </w:r>
      <w:r w:rsidR="004C3EA4" w:rsidRPr="00A94016">
        <w:rPr>
          <w:rStyle w:val="normaltextrun"/>
          <w:rFonts w:ascii="Cambria" w:hAnsi="Cambria" w:cstheme="majorBidi"/>
          <w:color w:val="000000"/>
          <w:bdr w:val="none" w:sz="0" w:space="0" w:color="auto" w:frame="1"/>
          <w:lang w:val="en-US"/>
        </w:rPr>
        <w:t>.</w:t>
      </w:r>
    </w:p>
    <w:tbl>
      <w:tblPr>
        <w:tblW w:w="97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371"/>
        <w:gridCol w:w="2392"/>
        <w:gridCol w:w="2356"/>
      </w:tblGrid>
      <w:tr w:rsidR="004C3EA4" w:rsidRPr="00957F78" w14:paraId="3A9946BB" w14:textId="77777777" w:rsidTr="00A342F3">
        <w:trPr>
          <w:trHeight w:val="1412"/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191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</w:pPr>
            <w:r w:rsidRPr="00957F78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t>Annualized</w:t>
            </w:r>
          </w:p>
          <w:p w14:paraId="3524B616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</w:pPr>
            <w:r w:rsidRPr="00957F78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t>change, mean (SD)</w:t>
            </w:r>
            <w:r w:rsidRPr="00957F78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cr/>
            </w:r>
            <w:r w:rsidRPr="00957F78">
              <w:rPr>
                <w:rFonts w:ascii="Cambria" w:eastAsia="Times New Roman" w:hAnsi="Cambria" w:cs="Times New Roman"/>
                <w:lang w:eastAsia="en-GB"/>
              </w:rPr>
              <w:t> </w:t>
            </w:r>
          </w:p>
          <w:p w14:paraId="5C6A3EBC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</w:p>
          <w:p w14:paraId="72F59CD8" w14:textId="77777777" w:rsidR="004C3EA4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</w:pPr>
            <w:r w:rsidRPr="00957F78">
              <w:rPr>
                <w:rFonts w:ascii="Cambria" w:eastAsia="Times New Roman" w:hAnsi="Cambria" w:cs="Times New Roman"/>
                <w:lang w:eastAsia="en-GB"/>
              </w:rPr>
              <w:t>p value</w:t>
            </w:r>
            <w:r w:rsidRPr="00957F78" w:rsidDel="00D76F6E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t xml:space="preserve"> </w:t>
            </w:r>
            <w:r w:rsidRPr="00957F78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t>*</w:t>
            </w:r>
          </w:p>
          <w:p w14:paraId="538EEF8C" w14:textId="77777777" w:rsidR="00B66CBE" w:rsidRPr="00957F78" w:rsidRDefault="00B66CBE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Times New Roman"/>
                <w:lang w:val="en-US" w:eastAsia="en-GB"/>
              </w:rPr>
              <w:t>(within-group testing for annualized change being different than 0)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A90C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theme="majorBidi"/>
                <w:b/>
                <w:bCs/>
                <w:lang w:eastAsia="en-GB"/>
              </w:rPr>
            </w:pPr>
          </w:p>
          <w:p w14:paraId="6ECA0D5E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theme="majorBidi"/>
                <w:b/>
                <w:bCs/>
                <w:lang w:eastAsia="en-GB"/>
              </w:rPr>
            </w:pPr>
            <w:r w:rsidRPr="00957F78">
              <w:rPr>
                <w:rFonts w:ascii="Cambria" w:eastAsia="Times New Roman" w:hAnsi="Cambria" w:cstheme="majorBidi"/>
                <w:b/>
                <w:bCs/>
                <w:lang w:eastAsia="en-GB"/>
              </w:rPr>
              <w:t>MS Subtype</w:t>
            </w:r>
          </w:p>
          <w:p w14:paraId="586FD173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val="en-US" w:eastAsia="en-GB"/>
              </w:rPr>
            </w:pPr>
            <w:r w:rsidRPr="00957F78">
              <w:rPr>
                <w:rFonts w:ascii="Cambria" w:eastAsia="Times New Roman" w:hAnsi="Cambria" w:cs="Times New Roman"/>
                <w:lang w:val="en-US" w:eastAsia="en-GB"/>
              </w:rPr>
              <w:t xml:space="preserve">(Total n = 61; converters = 21, </w:t>
            </w:r>
          </w:p>
          <w:p w14:paraId="54C2FDD2" w14:textId="77777777" w:rsidR="004C3EA4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val="en-US" w:eastAsia="en-GB"/>
              </w:rPr>
            </w:pPr>
            <w:r w:rsidRPr="00957F78">
              <w:rPr>
                <w:rFonts w:ascii="Cambria" w:eastAsia="Times New Roman" w:hAnsi="Cambria" w:cs="Times New Roman"/>
                <w:lang w:val="en-US" w:eastAsia="en-GB"/>
              </w:rPr>
              <w:t>non-converters = 40)</w:t>
            </w:r>
          </w:p>
          <w:p w14:paraId="57904159" w14:textId="77777777" w:rsidR="00A94016" w:rsidRDefault="00A94016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val="en-US" w:eastAsia="en-GB"/>
              </w:rPr>
            </w:pPr>
            <w:r>
              <w:rPr>
                <w:rFonts w:ascii="Cambria" w:eastAsia="Times New Roman" w:hAnsi="Cambria" w:cs="Times New Roman"/>
                <w:lang w:val="en-US" w:eastAsia="en-GB"/>
              </w:rPr>
              <w:t>Excluding ON eyes (</w:t>
            </w:r>
            <w:r w:rsidR="001F2775">
              <w:rPr>
                <w:rFonts w:ascii="Cambria" w:eastAsia="Times New Roman" w:hAnsi="Cambria" w:cs="Times New Roman"/>
                <w:lang w:val="en-US" w:eastAsia="en-GB"/>
              </w:rPr>
              <w:t>total 16 eyes)</w:t>
            </w:r>
          </w:p>
          <w:p w14:paraId="5427C7ED" w14:textId="77777777" w:rsidR="001F2775" w:rsidRPr="00957F78" w:rsidRDefault="001F2775" w:rsidP="001F2775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ABB6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</w:pPr>
          </w:p>
          <w:p w14:paraId="14212C14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  <w:r w:rsidRPr="00957F78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t>Difference in annualized changes between groups</w:t>
            </w:r>
            <w:r w:rsidRPr="00957F78">
              <w:rPr>
                <w:rFonts w:ascii="Cambria" w:eastAsia="Times New Roman" w:hAnsi="Cambria" w:cs="Times New Roman"/>
                <w:bCs/>
                <w:vertAlign w:val="superscript"/>
                <w:lang w:val="en-US" w:eastAsia="en-GB"/>
              </w:rPr>
              <w:t xml:space="preserve"> </w:t>
            </w:r>
            <w:r w:rsidRPr="00957F78">
              <w:rPr>
                <w:rFonts w:ascii="Cambria" w:eastAsia="Times New Roman" w:hAnsi="Cambria" w:cs="Times New Roman"/>
                <w:b/>
                <w:bCs/>
                <w:vertAlign w:val="superscript"/>
                <w:lang w:val="en-US" w:eastAsia="en-GB"/>
              </w:rPr>
              <w:t>a</w:t>
            </w:r>
          </w:p>
          <w:p w14:paraId="57A4AF44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eastAsia="en-GB"/>
              </w:rPr>
            </w:pPr>
          </w:p>
          <w:p w14:paraId="63E49FCA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</w:pPr>
          </w:p>
          <w:p w14:paraId="54D2EB4A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vertAlign w:val="superscript"/>
                <w:lang w:eastAsia="en-GB"/>
              </w:rPr>
            </w:pPr>
            <w:r w:rsidRPr="00957F78">
              <w:rPr>
                <w:rFonts w:ascii="Cambria" w:eastAsia="Times New Roman" w:hAnsi="Cambria" w:cs="Times New Roman"/>
                <w:bCs/>
                <w:lang w:val="en-US" w:eastAsia="en-GB"/>
              </w:rPr>
              <w:t>p value *</w:t>
            </w:r>
          </w:p>
        </w:tc>
      </w:tr>
      <w:tr w:rsidR="004C3EA4" w:rsidRPr="00957F78" w14:paraId="5A41AAD9" w14:textId="77777777" w:rsidTr="00A342F3">
        <w:trPr>
          <w:trHeight w:val="1204"/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3B4D66" w14:textId="77777777" w:rsidR="004C3EA4" w:rsidRPr="00957F78" w:rsidRDefault="004C3EA4" w:rsidP="000728D9">
            <w:pPr>
              <w:spacing w:after="0" w:line="240" w:lineRule="auto"/>
              <w:rPr>
                <w:rFonts w:ascii="Cambria" w:eastAsia="Times New Roman" w:hAnsi="Cambria" w:cs="Segoe UI"/>
                <w:lang w:eastAsia="en-GB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173F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</w:pPr>
          </w:p>
          <w:p w14:paraId="1729B9E2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</w:pPr>
            <w:r w:rsidRPr="00957F78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t>Non-converters</w:t>
            </w:r>
          </w:p>
          <w:p w14:paraId="36CCDF74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eastAsia="en-GB"/>
              </w:rPr>
            </w:pPr>
            <w:r w:rsidRPr="00957F78" w:rsidDel="008E3204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t xml:space="preserve"> </w:t>
            </w:r>
            <w:r w:rsidRPr="00957F78">
              <w:rPr>
                <w:rFonts w:ascii="Cambria" w:eastAsia="Times New Roman" w:hAnsi="Cambria" w:cs="Times New Roman"/>
                <w:b/>
                <w:bCs/>
                <w:lang w:val="en-US" w:eastAsia="en-GB"/>
              </w:rPr>
              <w:t>(n = 40)</w:t>
            </w:r>
            <w:r w:rsidRPr="00957F78">
              <w:rPr>
                <w:rFonts w:ascii="Cambria" w:eastAsia="Times New Roman" w:hAnsi="Cambria" w:cs="Times New Roman"/>
                <w:lang w:eastAsia="en-GB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280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eastAsia="en-GB"/>
              </w:rPr>
            </w:pPr>
            <w:r w:rsidRPr="00957F78">
              <w:rPr>
                <w:rFonts w:ascii="Cambria" w:eastAsia="Times New Roman" w:hAnsi="Cambria" w:cs="Times New Roman"/>
                <w:b/>
                <w:bCs/>
                <w:lang w:eastAsia="en-GB"/>
              </w:rPr>
              <w:t>Converters</w:t>
            </w:r>
          </w:p>
          <w:p w14:paraId="1AF50EC8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eastAsia="en-GB"/>
              </w:rPr>
            </w:pPr>
            <w:r w:rsidRPr="00957F78" w:rsidDel="008E3204">
              <w:rPr>
                <w:rFonts w:ascii="Cambria" w:eastAsia="Times New Roman" w:hAnsi="Cambria" w:cs="Times New Roman"/>
                <w:b/>
                <w:bCs/>
                <w:lang w:eastAsia="en-GB"/>
              </w:rPr>
              <w:t xml:space="preserve"> </w:t>
            </w:r>
            <w:r w:rsidRPr="00957F78">
              <w:rPr>
                <w:rFonts w:ascii="Cambria" w:eastAsia="Times New Roman" w:hAnsi="Cambria" w:cs="Times New Roman"/>
                <w:b/>
                <w:bCs/>
                <w:lang w:eastAsia="en-GB"/>
              </w:rPr>
              <w:t>(n = 21)</w:t>
            </w:r>
          </w:p>
          <w:p w14:paraId="4644BFE2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b/>
                <w:bCs/>
                <w:lang w:eastAsia="en-GB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27E7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</w:tc>
      </w:tr>
      <w:tr w:rsidR="004C3EA4" w:rsidRPr="00957F78" w14:paraId="523ED52E" w14:textId="77777777" w:rsidTr="00A342F3">
        <w:trPr>
          <w:trHeight w:val="1233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302F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66F93D62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02B4CF4B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957F78">
              <w:rPr>
                <w:rStyle w:val="normaltextrun"/>
                <w:rFonts w:ascii="Cambria" w:hAnsi="Cambria"/>
                <w:b/>
                <w:bCs/>
                <w:sz w:val="22"/>
                <w:szCs w:val="22"/>
                <w:lang w:val="en-US"/>
              </w:rPr>
              <w:t>pRNFL</w:t>
            </w:r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(</w:t>
            </w:r>
            <w:r w:rsidRPr="00957F78">
              <w:rPr>
                <w:rFonts w:ascii="Cambria" w:hAnsi="Cambria"/>
                <w:sz w:val="22"/>
                <w:szCs w:val="22"/>
              </w:rPr>
              <w:t>µm/year</w:t>
            </w:r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18EE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</w:p>
          <w:p w14:paraId="0CA65482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  <w:r w:rsidRPr="00957F78">
              <w:rPr>
                <w:rFonts w:ascii="Cambria" w:eastAsia="Times New Roman" w:hAnsi="Cambria" w:cs="Times New Roman"/>
                <w:lang w:eastAsia="en-GB"/>
              </w:rPr>
              <w:t>-0.5</w:t>
            </w:r>
            <w:r w:rsidR="00696C6F">
              <w:rPr>
                <w:rFonts w:ascii="Cambria" w:eastAsia="Times New Roman" w:hAnsi="Cambria" w:cs="Times New Roman"/>
                <w:lang w:eastAsia="en-GB"/>
              </w:rPr>
              <w:t>3 (0.16</w:t>
            </w:r>
            <w:r w:rsidRPr="00957F78">
              <w:rPr>
                <w:rFonts w:ascii="Cambria" w:eastAsia="Times New Roman" w:hAnsi="Cambria" w:cs="Times New Roman"/>
                <w:lang w:eastAsia="en-GB"/>
              </w:rPr>
              <w:t>)</w:t>
            </w:r>
          </w:p>
          <w:p w14:paraId="6404B4F3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</w:p>
          <w:p w14:paraId="239EB12F" w14:textId="77777777" w:rsidR="004C3EA4" w:rsidRPr="00957F78" w:rsidRDefault="004C3EA4" w:rsidP="00696C6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  <w:r w:rsidRPr="00957F78">
              <w:rPr>
                <w:rFonts w:ascii="Cambria" w:eastAsia="Times New Roman" w:hAnsi="Cambria" w:cs="Times New Roman"/>
                <w:lang w:eastAsia="en-GB"/>
              </w:rPr>
              <w:t>0.00</w:t>
            </w:r>
            <w:r w:rsidR="00696C6F">
              <w:rPr>
                <w:rFonts w:ascii="Cambria" w:eastAsia="Times New Roman" w:hAnsi="Cambria" w:cs="Times New Roman"/>
                <w:lang w:eastAsia="en-GB"/>
              </w:rPr>
              <w:t>1</w:t>
            </w:r>
            <w:r w:rsidRPr="00957F78">
              <w:rPr>
                <w:rFonts w:ascii="Cambria" w:eastAsia="Times New Roman" w:hAnsi="Cambria" w:cs="Times New Roman"/>
                <w:lang w:eastAsia="en-GB"/>
              </w:rPr>
              <w:t xml:space="preserve"> *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A0028ED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</w:p>
          <w:p w14:paraId="132EBF34" w14:textId="77777777" w:rsidR="004C3EA4" w:rsidRPr="00957F78" w:rsidRDefault="00696C6F" w:rsidP="00696C6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>-1.02</w:t>
            </w:r>
            <w:r w:rsidR="004C3EA4" w:rsidRPr="00957F78">
              <w:rPr>
                <w:rFonts w:ascii="Cambria" w:eastAsia="Times New Roman" w:hAnsi="Cambria" w:cs="Times New Roman"/>
                <w:lang w:eastAsia="en-GB"/>
              </w:rPr>
              <w:t xml:space="preserve"> (0.2</w:t>
            </w:r>
            <w:r>
              <w:rPr>
                <w:rFonts w:ascii="Cambria" w:eastAsia="Times New Roman" w:hAnsi="Cambria" w:cs="Times New Roman"/>
                <w:lang w:eastAsia="en-GB"/>
              </w:rPr>
              <w:t>7</w:t>
            </w:r>
            <w:r w:rsidR="004C3EA4" w:rsidRPr="00957F78">
              <w:rPr>
                <w:rFonts w:ascii="Cambria" w:eastAsia="Times New Roman" w:hAnsi="Cambria" w:cs="Times New Roman"/>
                <w:lang w:eastAsia="en-GB"/>
              </w:rPr>
              <w:t>)</w:t>
            </w:r>
          </w:p>
          <w:p w14:paraId="0369DCBA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en-GB"/>
              </w:rPr>
            </w:pPr>
          </w:p>
          <w:p w14:paraId="0F456CD7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hAnsi="Cambria"/>
              </w:rPr>
              <w:t xml:space="preserve">p&lt;0.0001 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*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4074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7B4EA5DC" w14:textId="77777777" w:rsidR="004C3EA4" w:rsidRPr="00957F78" w:rsidRDefault="00696C6F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-0.48 (0.25</w:t>
            </w:r>
            <w:r w:rsidR="004C3EA4" w:rsidRPr="00957F78">
              <w:rPr>
                <w:rFonts w:ascii="Cambria" w:eastAsia="Times New Roman" w:hAnsi="Cambria" w:cs="Segoe UI"/>
                <w:lang w:eastAsia="en-GB"/>
              </w:rPr>
              <w:t>)</w:t>
            </w:r>
          </w:p>
          <w:p w14:paraId="133DF5B7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4B082CA5" w14:textId="77777777" w:rsidR="004C3EA4" w:rsidRPr="00957F78" w:rsidRDefault="00696C6F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A94016">
              <w:rPr>
                <w:rFonts w:ascii="Cambria" w:eastAsia="Times New Roman" w:hAnsi="Cambria" w:cs="Segoe UI"/>
                <w:lang w:eastAsia="en-GB"/>
              </w:rPr>
              <w:t>0.055</w:t>
            </w:r>
          </w:p>
          <w:p w14:paraId="13A59481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</w:tc>
      </w:tr>
      <w:tr w:rsidR="004C3EA4" w:rsidRPr="00957F78" w14:paraId="721AD720" w14:textId="77777777" w:rsidTr="000728D9">
        <w:trPr>
          <w:trHeight w:val="1354"/>
          <w:jc w:val="center"/>
        </w:trPr>
        <w:tc>
          <w:tcPr>
            <w:tcW w:w="2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2804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425D0748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05ED293B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Segoe UI"/>
                <w:sz w:val="22"/>
                <w:szCs w:val="22"/>
              </w:rPr>
            </w:pPr>
            <w:proofErr w:type="spellStart"/>
            <w:r w:rsidRPr="00957F78">
              <w:rPr>
                <w:rStyle w:val="normaltextrun"/>
                <w:rFonts w:ascii="Cambria" w:hAnsi="Cambria"/>
                <w:b/>
                <w:bCs/>
                <w:sz w:val="22"/>
                <w:szCs w:val="22"/>
                <w:lang w:val="en-US"/>
              </w:rPr>
              <w:t>tRNFL</w:t>
            </w:r>
            <w:proofErr w:type="spellEnd"/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(</w:t>
            </w:r>
            <w:r w:rsidRPr="00957F78">
              <w:rPr>
                <w:rFonts w:ascii="Cambria" w:hAnsi="Cambria"/>
                <w:sz w:val="22"/>
                <w:szCs w:val="22"/>
              </w:rPr>
              <w:t>µm/year</w:t>
            </w:r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843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78D3DC81" w14:textId="77777777" w:rsidR="004C3EA4" w:rsidRPr="00957F78" w:rsidRDefault="00696C6F" w:rsidP="00696C6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-0.6</w:t>
            </w:r>
            <w:r w:rsidR="004C3EA4" w:rsidRPr="00957F78">
              <w:rPr>
                <w:rFonts w:ascii="Cambria" w:eastAsia="Times New Roman" w:hAnsi="Cambria" w:cs="Segoe UI"/>
                <w:lang w:eastAsia="en-GB"/>
              </w:rPr>
              <w:t xml:space="preserve"> (0.</w:t>
            </w:r>
            <w:r>
              <w:rPr>
                <w:rFonts w:ascii="Cambria" w:eastAsia="Times New Roman" w:hAnsi="Cambria" w:cs="Segoe UI"/>
                <w:lang w:eastAsia="en-GB"/>
              </w:rPr>
              <w:t>12</w:t>
            </w:r>
            <w:r w:rsidR="004C3EA4" w:rsidRPr="00957F78">
              <w:rPr>
                <w:rFonts w:ascii="Cambria" w:eastAsia="Times New Roman" w:hAnsi="Cambria" w:cs="Segoe UI"/>
                <w:lang w:eastAsia="en-GB"/>
              </w:rPr>
              <w:t>)</w:t>
            </w:r>
          </w:p>
          <w:p w14:paraId="72BF3EF7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2DDF7E8C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0.00</w:t>
            </w:r>
            <w:r w:rsidR="00696C6F">
              <w:rPr>
                <w:rFonts w:ascii="Cambria" w:eastAsia="Times New Roman" w:hAnsi="Cambria" w:cs="Segoe UI"/>
                <w:lang w:eastAsia="en-GB"/>
              </w:rPr>
              <w:t>5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 xml:space="preserve"> *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7B3A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7DB24D03" w14:textId="77777777" w:rsidR="004C3EA4" w:rsidRPr="00957F78" w:rsidRDefault="004C3EA4" w:rsidP="00696C6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-2.</w:t>
            </w:r>
            <w:r w:rsidR="00696C6F">
              <w:rPr>
                <w:rFonts w:ascii="Cambria" w:eastAsia="Times New Roman" w:hAnsi="Cambria" w:cs="Segoe UI"/>
                <w:lang w:eastAsia="en-GB"/>
              </w:rPr>
              <w:t>82 (0.31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)</w:t>
            </w:r>
          </w:p>
          <w:p w14:paraId="3C41707D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358543C0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hAnsi="Cambria"/>
              </w:rPr>
              <w:t xml:space="preserve">p&lt;0.0001 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*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FC82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0CD7E650" w14:textId="77777777" w:rsidR="004C3EA4" w:rsidRPr="00957F78" w:rsidRDefault="00696C6F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-2.21 (0.28</w:t>
            </w:r>
            <w:r w:rsidR="004C3EA4" w:rsidRPr="00957F78">
              <w:rPr>
                <w:rFonts w:ascii="Cambria" w:eastAsia="Times New Roman" w:hAnsi="Cambria" w:cs="Segoe UI"/>
                <w:lang w:eastAsia="en-GB"/>
              </w:rPr>
              <w:t xml:space="preserve">)  </w:t>
            </w:r>
          </w:p>
          <w:p w14:paraId="51AB51CB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346DC492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hAnsi="Cambria"/>
              </w:rPr>
              <w:t xml:space="preserve">p&lt;0.0001 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*</w:t>
            </w:r>
          </w:p>
        </w:tc>
      </w:tr>
      <w:tr w:rsidR="004C3EA4" w:rsidRPr="00957F78" w14:paraId="22A78014" w14:textId="77777777" w:rsidTr="000728D9">
        <w:trPr>
          <w:trHeight w:val="140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C869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61041944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754A3D96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="Segoe UI"/>
                <w:sz w:val="22"/>
                <w:szCs w:val="22"/>
              </w:rPr>
            </w:pPr>
            <w:r w:rsidRPr="00957F78">
              <w:rPr>
                <w:rStyle w:val="normaltextrun"/>
                <w:rFonts w:ascii="Cambria" w:hAnsi="Cambria"/>
                <w:b/>
                <w:bCs/>
                <w:sz w:val="22"/>
                <w:szCs w:val="22"/>
                <w:lang w:val="en-US"/>
              </w:rPr>
              <w:t>G</w:t>
            </w:r>
            <w:r w:rsidRPr="00957F78">
              <w:rPr>
                <w:rStyle w:val="normaltextrun"/>
                <w:rFonts w:ascii="Cambria" w:hAnsi="Cambria"/>
                <w:b/>
                <w:bCs/>
                <w:sz w:val="22"/>
                <w:szCs w:val="22"/>
              </w:rPr>
              <w:t>CIPL</w:t>
            </w:r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(</w:t>
            </w:r>
            <w:r w:rsidRPr="00957F78">
              <w:rPr>
                <w:rFonts w:ascii="Cambria" w:hAnsi="Cambria"/>
                <w:sz w:val="22"/>
                <w:szCs w:val="22"/>
              </w:rPr>
              <w:t>µm/year</w:t>
            </w:r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54F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2251CE3E" w14:textId="77777777" w:rsidR="004C3EA4" w:rsidRPr="00957F78" w:rsidRDefault="004C3EA4" w:rsidP="00605BE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-0.1</w:t>
            </w:r>
            <w:r w:rsidR="00605BE2">
              <w:rPr>
                <w:rFonts w:ascii="Cambria" w:eastAsia="Times New Roman" w:hAnsi="Cambria" w:cs="Segoe UI"/>
                <w:lang w:eastAsia="en-GB"/>
              </w:rPr>
              <w:t>8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 xml:space="preserve"> (</w:t>
            </w:r>
            <w:r w:rsidR="00605BE2">
              <w:rPr>
                <w:rFonts w:ascii="Cambria" w:eastAsia="Times New Roman" w:hAnsi="Cambria" w:cs="Segoe UI"/>
                <w:lang w:eastAsia="en-GB"/>
              </w:rPr>
              <w:t>0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.1)</w:t>
            </w:r>
          </w:p>
          <w:p w14:paraId="3761F27F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43A0C109" w14:textId="77777777" w:rsidR="004C3EA4" w:rsidRPr="00957F78" w:rsidRDefault="00605BE2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0.091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A61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5309E220" w14:textId="77777777" w:rsidR="004C3EA4" w:rsidRPr="00957F78" w:rsidRDefault="00605BE2" w:rsidP="00605BE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-1.06 (0.16</w:t>
            </w:r>
            <w:r w:rsidR="004C3EA4" w:rsidRPr="00957F78">
              <w:rPr>
                <w:rFonts w:ascii="Cambria" w:eastAsia="Times New Roman" w:hAnsi="Cambria" w:cs="Segoe UI"/>
                <w:lang w:eastAsia="en-GB"/>
              </w:rPr>
              <w:t>)</w:t>
            </w:r>
          </w:p>
          <w:p w14:paraId="3D34C9E1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 xml:space="preserve"> </w:t>
            </w:r>
          </w:p>
          <w:p w14:paraId="2D3197ED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hAnsi="Cambria"/>
              </w:rPr>
              <w:t xml:space="preserve">p&lt;0.0001 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*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3B1C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6B4E7D1B" w14:textId="77777777" w:rsidR="004C3EA4" w:rsidRPr="00957F78" w:rsidRDefault="00605BE2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-0.88 (0.13</w:t>
            </w:r>
            <w:r w:rsidR="004C3EA4" w:rsidRPr="00957F78">
              <w:rPr>
                <w:rFonts w:ascii="Cambria" w:eastAsia="Times New Roman" w:hAnsi="Cambria" w:cs="Segoe UI"/>
                <w:lang w:eastAsia="en-GB"/>
              </w:rPr>
              <w:t>)</w:t>
            </w:r>
          </w:p>
          <w:p w14:paraId="3D227024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6D34EE51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hAnsi="Cambria"/>
              </w:rPr>
              <w:t xml:space="preserve"> p&lt;0.0001 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*</w:t>
            </w:r>
          </w:p>
        </w:tc>
      </w:tr>
      <w:tr w:rsidR="004C3EA4" w:rsidRPr="00957F78" w14:paraId="5802C23B" w14:textId="77777777" w:rsidTr="000728D9">
        <w:trPr>
          <w:trHeight w:val="140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536A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2831BC50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/>
                <w:b/>
                <w:sz w:val="22"/>
                <w:szCs w:val="22"/>
                <w:lang w:val="en-US"/>
              </w:rPr>
            </w:pPr>
          </w:p>
          <w:p w14:paraId="17120263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  <w:r w:rsidRPr="00957F78">
              <w:rPr>
                <w:rStyle w:val="normaltextrun"/>
                <w:rFonts w:ascii="Cambria" w:hAnsi="Cambria"/>
                <w:b/>
                <w:sz w:val="22"/>
                <w:szCs w:val="22"/>
                <w:lang w:val="en-US"/>
              </w:rPr>
              <w:t>INL</w:t>
            </w:r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(</w:t>
            </w:r>
            <w:r w:rsidRPr="00957F78">
              <w:rPr>
                <w:rFonts w:ascii="Cambria" w:hAnsi="Cambria"/>
                <w:sz w:val="22"/>
                <w:szCs w:val="22"/>
              </w:rPr>
              <w:t>µm/year</w:t>
            </w:r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1B8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70CFFAB2" w14:textId="77777777" w:rsidR="004C3EA4" w:rsidRPr="00957F78" w:rsidRDefault="004C3EA4" w:rsidP="00A168C6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-0.0</w:t>
            </w:r>
            <w:r w:rsidR="00A168C6">
              <w:rPr>
                <w:rFonts w:ascii="Cambria" w:eastAsia="Times New Roman" w:hAnsi="Cambria" w:cs="Segoe UI"/>
                <w:lang w:eastAsia="en-GB"/>
              </w:rPr>
              <w:t>7 (0.04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)</w:t>
            </w:r>
          </w:p>
          <w:p w14:paraId="75D16A1C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7DE0A04A" w14:textId="77777777" w:rsidR="004C3EA4" w:rsidRPr="00957F78" w:rsidRDefault="00A168C6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0.105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B48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12591180" w14:textId="77777777" w:rsidR="004C3EA4" w:rsidRPr="00957F78" w:rsidRDefault="004C3EA4" w:rsidP="00A168C6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-0.1</w:t>
            </w:r>
            <w:r w:rsidR="00A168C6">
              <w:rPr>
                <w:rFonts w:ascii="Cambria" w:eastAsia="Times New Roman" w:hAnsi="Cambria" w:cs="Segoe UI"/>
                <w:lang w:eastAsia="en-GB"/>
              </w:rPr>
              <w:t>5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 xml:space="preserve"> (0.07)</w:t>
            </w:r>
          </w:p>
          <w:p w14:paraId="7E0114E4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0A8B7447" w14:textId="77777777" w:rsidR="004C3EA4" w:rsidRPr="00957F78" w:rsidRDefault="00A168C6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0.053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8E9A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34837660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-0.08 (0.07)</w:t>
            </w:r>
          </w:p>
          <w:p w14:paraId="3260FED8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4E1D6043" w14:textId="77777777" w:rsidR="004C3EA4" w:rsidRPr="00957F78" w:rsidRDefault="00A168C6" w:rsidP="00A168C6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0.284</w:t>
            </w:r>
          </w:p>
        </w:tc>
      </w:tr>
      <w:tr w:rsidR="004C3EA4" w:rsidRPr="00957F78" w14:paraId="297F069A" w14:textId="77777777" w:rsidTr="000728D9">
        <w:trPr>
          <w:trHeight w:val="132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2DBE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0C01C9D6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</w:pPr>
          </w:p>
          <w:p w14:paraId="3BA8DB4D" w14:textId="77777777" w:rsidR="004C3EA4" w:rsidRPr="00957F78" w:rsidRDefault="004C3EA4" w:rsidP="000728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 w:cs="Segoe UI"/>
                <w:sz w:val="22"/>
                <w:szCs w:val="22"/>
              </w:rPr>
            </w:pPr>
            <w:r w:rsidRPr="00957F78">
              <w:rPr>
                <w:rStyle w:val="normaltextrun"/>
                <w:rFonts w:ascii="Cambria" w:hAnsi="Cambria"/>
                <w:b/>
                <w:bCs/>
                <w:sz w:val="22"/>
                <w:szCs w:val="22"/>
                <w:lang w:val="en-US"/>
              </w:rPr>
              <w:t>MV</w:t>
            </w:r>
            <w:r w:rsidRPr="00957F78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(mm3/year)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A87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7924F9E9" w14:textId="77777777" w:rsidR="004C3EA4" w:rsidRPr="00957F78" w:rsidRDefault="004C3EA4" w:rsidP="00605BE2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-0.0</w:t>
            </w:r>
            <w:r w:rsidR="00605BE2">
              <w:rPr>
                <w:rFonts w:ascii="Cambria" w:eastAsia="Times New Roman" w:hAnsi="Cambria" w:cs="Segoe UI"/>
                <w:lang w:eastAsia="en-GB"/>
              </w:rPr>
              <w:t>1 (0.007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>)</w:t>
            </w:r>
          </w:p>
          <w:p w14:paraId="1A945CED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48BDBE8C" w14:textId="77777777" w:rsidR="004C3EA4" w:rsidRPr="00957F78" w:rsidRDefault="00605BE2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2416A2">
              <w:rPr>
                <w:rFonts w:ascii="Cambria" w:eastAsia="Times New Roman" w:hAnsi="Cambria" w:cs="Segoe UI"/>
                <w:lang w:eastAsia="en-GB"/>
              </w:rPr>
              <w:t>0.063</w:t>
            </w:r>
            <w:r w:rsidR="004C3EA4" w:rsidRPr="00957F78">
              <w:rPr>
                <w:rFonts w:ascii="Cambria" w:eastAsia="Times New Roman" w:hAnsi="Cambria" w:cs="Segoe UI"/>
                <w:lang w:eastAsia="en-GB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E185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712F6AEE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-0.04 (0.01)</w:t>
            </w:r>
          </w:p>
          <w:p w14:paraId="43260E78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2605DB8D" w14:textId="77777777" w:rsidR="004C3EA4" w:rsidRPr="00957F78" w:rsidRDefault="00605BE2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>
              <w:rPr>
                <w:rFonts w:ascii="Cambria" w:eastAsia="Times New Roman" w:hAnsi="Cambria" w:cs="Segoe UI"/>
                <w:lang w:eastAsia="en-GB"/>
              </w:rPr>
              <w:t>0.003</w:t>
            </w:r>
            <w:r w:rsidR="004C3EA4" w:rsidRPr="00957F78">
              <w:rPr>
                <w:rFonts w:ascii="Cambria" w:eastAsia="Times New Roman" w:hAnsi="Cambria" w:cs="Segoe UI"/>
                <w:lang w:eastAsia="en-GB"/>
              </w:rPr>
              <w:t xml:space="preserve"> *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6E6A" w14:textId="77777777" w:rsidR="004C3EA4" w:rsidRPr="00957F78" w:rsidRDefault="004C3EA4" w:rsidP="000728D9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0FCCA935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 xml:space="preserve">-0.02 (0.01) </w:t>
            </w:r>
          </w:p>
          <w:p w14:paraId="398421C8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</w:p>
          <w:p w14:paraId="1D10D318" w14:textId="77777777" w:rsidR="004C3EA4" w:rsidRPr="00957F78" w:rsidRDefault="004C3EA4" w:rsidP="000728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eastAsia="en-GB"/>
              </w:rPr>
            </w:pPr>
            <w:r w:rsidRPr="00957F78">
              <w:rPr>
                <w:rFonts w:ascii="Cambria" w:eastAsia="Times New Roman" w:hAnsi="Cambria" w:cs="Segoe UI"/>
                <w:lang w:eastAsia="en-GB"/>
              </w:rPr>
              <w:t>0.04</w:t>
            </w:r>
            <w:r w:rsidR="00605BE2">
              <w:rPr>
                <w:rFonts w:ascii="Cambria" w:eastAsia="Times New Roman" w:hAnsi="Cambria" w:cs="Segoe UI"/>
                <w:lang w:eastAsia="en-GB"/>
              </w:rPr>
              <w:t>4</w:t>
            </w:r>
            <w:r w:rsidRPr="00957F78">
              <w:rPr>
                <w:rFonts w:ascii="Cambria" w:eastAsia="Times New Roman" w:hAnsi="Cambria" w:cs="Segoe UI"/>
                <w:lang w:eastAsia="en-GB"/>
              </w:rPr>
              <w:t xml:space="preserve"> </w:t>
            </w:r>
          </w:p>
        </w:tc>
      </w:tr>
    </w:tbl>
    <w:p w14:paraId="092D1558" w14:textId="77777777" w:rsidR="001F2775" w:rsidRDefault="001F2775" w:rsidP="004C3EA4">
      <w:pPr>
        <w:spacing w:line="480" w:lineRule="auto"/>
        <w:ind w:left="-426"/>
        <w:rPr>
          <w:rFonts w:ascii="Cambria" w:hAnsi="Cambria"/>
          <w:vertAlign w:val="superscript"/>
        </w:rPr>
      </w:pPr>
    </w:p>
    <w:p w14:paraId="21988AD1" w14:textId="77777777" w:rsidR="004C3EA4" w:rsidRPr="00957F78" w:rsidRDefault="004C3EA4" w:rsidP="004C3EA4">
      <w:pPr>
        <w:spacing w:line="480" w:lineRule="auto"/>
        <w:ind w:left="-426"/>
        <w:rPr>
          <w:rFonts w:ascii="Cambria" w:hAnsi="Cambria"/>
        </w:rPr>
      </w:pPr>
      <w:r w:rsidRPr="00957F78">
        <w:rPr>
          <w:rFonts w:ascii="Cambria" w:hAnsi="Cambria"/>
          <w:vertAlign w:val="superscript"/>
        </w:rPr>
        <w:t xml:space="preserve">a </w:t>
      </w:r>
      <w:r w:rsidRPr="00957F78">
        <w:rPr>
          <w:rFonts w:ascii="Cambria" w:hAnsi="Cambria"/>
        </w:rPr>
        <w:t>Mixed-effects regression, controlling for age, sex, disease duration at first visit</w:t>
      </w:r>
      <w:r>
        <w:rPr>
          <w:rFonts w:ascii="Cambria" w:hAnsi="Cambria"/>
        </w:rPr>
        <w:t xml:space="preserve">, </w:t>
      </w:r>
      <w:r w:rsidRPr="00957F78">
        <w:rPr>
          <w:rFonts w:ascii="Cambria" w:hAnsi="Cambria"/>
        </w:rPr>
        <w:t xml:space="preserve">and current DMT, with random intercepts for </w:t>
      </w:r>
      <w:r>
        <w:rPr>
          <w:rFonts w:ascii="Cambria" w:hAnsi="Cambria"/>
        </w:rPr>
        <w:t>patient</w:t>
      </w:r>
      <w:r w:rsidRPr="00957F78">
        <w:rPr>
          <w:rFonts w:ascii="Cambria" w:hAnsi="Cambria"/>
        </w:rPr>
        <w:t xml:space="preserve"> and eye, and random slope for time of follow up. </w:t>
      </w:r>
    </w:p>
    <w:p w14:paraId="74123017" w14:textId="77777777" w:rsidR="0080666A" w:rsidRDefault="004C3EA4" w:rsidP="00B66CBE">
      <w:pPr>
        <w:ind w:left="-426"/>
        <w:rPr>
          <w:rFonts w:ascii="Cambria" w:hAnsi="Cambria"/>
        </w:rPr>
      </w:pPr>
      <w:r w:rsidRPr="00957F78">
        <w:rPr>
          <w:rFonts w:ascii="Cambria" w:hAnsi="Cambria"/>
        </w:rPr>
        <w:t xml:space="preserve">* Statistically significant with a p-value &lt; 0.01 after </w:t>
      </w:r>
      <w:r w:rsidR="00B66CBE" w:rsidRPr="00957F78">
        <w:rPr>
          <w:rFonts w:ascii="Cambria" w:hAnsi="Cambria"/>
        </w:rPr>
        <w:t xml:space="preserve">Bonferroni adjustment for </w:t>
      </w:r>
      <w:r w:rsidR="00B66CBE">
        <w:rPr>
          <w:rFonts w:ascii="Cambria" w:hAnsi="Cambria"/>
        </w:rPr>
        <w:t>multiple comparisons.</w:t>
      </w:r>
    </w:p>
    <w:p w14:paraId="78CBDD16" w14:textId="561BAC0A" w:rsidR="004462E0" w:rsidRPr="00957F78" w:rsidRDefault="00520777" w:rsidP="004462E0">
      <w:pPr>
        <w:spacing w:line="240" w:lineRule="auto"/>
        <w:ind w:left="-142"/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>eT</w:t>
      </w:r>
      <w:r w:rsidR="004462E0" w:rsidRPr="00957F78">
        <w:rPr>
          <w:rFonts w:ascii="Cambria" w:hAnsi="Cambria"/>
          <w:b/>
          <w:bCs/>
        </w:rPr>
        <w:t xml:space="preserve">able </w:t>
      </w:r>
      <w:r w:rsidR="004462E0">
        <w:rPr>
          <w:rFonts w:ascii="Cambria" w:hAnsi="Cambria"/>
          <w:b/>
          <w:bCs/>
        </w:rPr>
        <w:t>2</w:t>
      </w:r>
      <w:r w:rsidR="004462E0" w:rsidRPr="00957F78">
        <w:rPr>
          <w:rFonts w:ascii="Cambria" w:hAnsi="Cambria"/>
          <w:b/>
          <w:bCs/>
        </w:rPr>
        <w:t>.</w:t>
      </w:r>
      <w:r w:rsidR="004462E0" w:rsidRPr="00957F78">
        <w:rPr>
          <w:rFonts w:ascii="Cambria" w:hAnsi="Cambria"/>
        </w:rPr>
        <w:t xml:space="preserve"> The progression of clinical measures in converters (until diagnosis of SPMS) and non-converters (until last EDSS visit).  </w:t>
      </w:r>
    </w:p>
    <w:tbl>
      <w:tblPr>
        <w:tblW w:w="8979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355"/>
        <w:gridCol w:w="1521"/>
      </w:tblGrid>
      <w:tr w:rsidR="004462E0" w:rsidRPr="00957F78" w14:paraId="45D2F64F" w14:textId="77777777" w:rsidTr="003558CE">
        <w:trPr>
          <w:trHeight w:val="15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D8336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  <w:p w14:paraId="15CF8FF4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  <w:p w14:paraId="56D2353E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b/>
                <w:bCs/>
              </w:rPr>
              <w:t>Clinical measures</w:t>
            </w: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16ECD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  <w:p w14:paraId="2414A22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b/>
                <w:bCs/>
              </w:rPr>
              <w:t>Converters</w:t>
            </w: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  <w:p w14:paraId="469DEA1E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b/>
                <w:bCs/>
              </w:rPr>
              <w:t>(n = 21)</w:t>
            </w: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B57F7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  <w:p w14:paraId="20DA7B1F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b/>
                <w:bCs/>
              </w:rPr>
              <w:t>Non-converters</w:t>
            </w: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  <w:p w14:paraId="78B20650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b/>
                <w:bCs/>
              </w:rPr>
              <w:t>(n = 40)</w:t>
            </w: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911C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</w:p>
          <w:p w14:paraId="511C4D6C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Segoe UI"/>
                <w:b/>
                <w:bCs/>
              </w:rPr>
              <w:t>p-value</w:t>
            </w:r>
            <w:r w:rsidRPr="00957F78">
              <w:rPr>
                <w:rFonts w:ascii="Cambria" w:eastAsia="Times New Roman" w:hAnsi="Cambria" w:cs="Segoe UI"/>
                <w:lang w:val="en-US"/>
              </w:rPr>
              <w:t> </w:t>
            </w:r>
            <w:r>
              <w:rPr>
                <w:rFonts w:ascii="Cambria" w:eastAsia="Times New Roman" w:hAnsi="Cambria" w:cs="Segoe UI"/>
                <w:lang w:val="en-US"/>
              </w:rPr>
              <w:t>*</w:t>
            </w:r>
          </w:p>
        </w:tc>
      </w:tr>
      <w:tr w:rsidR="004462E0" w:rsidRPr="00957F78" w14:paraId="6B962AD7" w14:textId="77777777" w:rsidTr="003558CE">
        <w:trPr>
          <w:trHeight w:val="54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018E1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3B0743F5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EDSS progression (%)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20C6EE24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A9048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4C6DCC48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16 (76%)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2B42D3D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6290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6212C1D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5 (12.5%)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1A63950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197BE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1F571A3C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&lt; 0.0001*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</w:tr>
      <w:tr w:rsidR="004462E0" w:rsidRPr="00957F78" w14:paraId="05C71BD9" w14:textId="77777777" w:rsidTr="003558CE">
        <w:trPr>
          <w:trHeight w:val="134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65909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57C2B3DE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25-FWT increase by ≥ 20%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637B2064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No. (%)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686E1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AC1247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5EA05140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12 (57%)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9FFA8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62B1B016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55BD36F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4 (10%)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1E4E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18E6C5C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683E8A62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&lt; 0.0001*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424FADB0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</w:tr>
      <w:tr w:rsidR="004462E0" w:rsidRPr="00957F78" w14:paraId="631A0740" w14:textId="77777777" w:rsidTr="003558CE">
        <w:trPr>
          <w:trHeight w:val="148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3FE51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5CC042E4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56D2FA05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SDMT decrease by ≥ 20%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6CE7FCF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No. (%)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A1AE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DB76071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EFBBC5E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6 (29%)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662F4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4ABEE768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18C06689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5 (13%)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A62DF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D1FDB5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4A2E08F2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0.12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</w:tr>
      <w:tr w:rsidR="004462E0" w:rsidRPr="00957F78" w14:paraId="454A4AF2" w14:textId="77777777" w:rsidTr="003558CE">
        <w:trPr>
          <w:trHeight w:val="1558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50C32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0901D43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26376480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9-HPT increase by ≥ 20%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36175B84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No. (%)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391EA8B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N = 39 in non-converters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683ABB62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38F12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450471AB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5689759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2 (10%)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07B0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602D2B6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3FE65F70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1 (3%)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829CD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C985657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B3542A2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0.238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</w:tr>
      <w:tr w:rsidR="004462E0" w:rsidRPr="00957F78" w14:paraId="0A268E93" w14:textId="77777777" w:rsidTr="003558CE">
        <w:trPr>
          <w:trHeight w:val="794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9F6C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3AEC704E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New MRI lesions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1B9D3588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No. (%)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91B6A09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CDFC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784E19FB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16 (76%)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79F6D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41BC1282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30 (75%)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ECD01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23ABA004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0.918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</w:tr>
      <w:tr w:rsidR="004462E0" w:rsidRPr="00957F78" w14:paraId="30DFE6A3" w14:textId="77777777" w:rsidTr="003558CE">
        <w:trPr>
          <w:trHeight w:val="794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4385E12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017D82A7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New gad-enhancing MRI lesions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4709F74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No. (%) 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6460BBAE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E0CF9CB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02D7DD0E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4 (19%)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E4822C0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2069F03A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11 (28%)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B31AEB3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  <w:p w14:paraId="5C07C365" w14:textId="77777777" w:rsidR="004462E0" w:rsidRPr="00957F78" w:rsidRDefault="004462E0" w:rsidP="003558CE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Segoe UI"/>
                <w:lang w:val="en-US"/>
              </w:rPr>
            </w:pPr>
            <w:r w:rsidRPr="00957F78">
              <w:rPr>
                <w:rFonts w:ascii="Cambria" w:eastAsia="Times New Roman" w:hAnsi="Cambria" w:cs="Calibri"/>
              </w:rPr>
              <w:t>0.466</w:t>
            </w:r>
            <w:r w:rsidRPr="00957F78">
              <w:rPr>
                <w:rFonts w:ascii="Cambria" w:eastAsia="Times New Roman" w:hAnsi="Cambria" w:cs="Calibri"/>
                <w:lang w:val="en-US"/>
              </w:rPr>
              <w:t> </w:t>
            </w:r>
          </w:p>
        </w:tc>
      </w:tr>
    </w:tbl>
    <w:p w14:paraId="189FD91A" w14:textId="77777777" w:rsidR="004462E0" w:rsidRPr="00957F78" w:rsidRDefault="004462E0" w:rsidP="004462E0">
      <w:pPr>
        <w:spacing w:line="480" w:lineRule="auto"/>
        <w:ind w:left="-284"/>
        <w:rPr>
          <w:rFonts w:ascii="Cambria" w:hAnsi="Cambria"/>
        </w:rPr>
      </w:pPr>
    </w:p>
    <w:p w14:paraId="475884C6" w14:textId="77777777" w:rsidR="004462E0" w:rsidRPr="00957F78" w:rsidRDefault="004462E0" w:rsidP="004462E0">
      <w:pPr>
        <w:spacing w:line="480" w:lineRule="auto"/>
        <w:ind w:left="-142"/>
        <w:rPr>
          <w:rFonts w:ascii="Cambria" w:hAnsi="Cambria" w:cs="Times New Roman"/>
        </w:rPr>
      </w:pPr>
      <w:r w:rsidRPr="00957F78">
        <w:rPr>
          <w:rFonts w:ascii="Cambria" w:hAnsi="Cambria" w:cs="Times New Roman"/>
        </w:rPr>
        <w:t xml:space="preserve">* Statistically significant with </w:t>
      </w:r>
      <w:r w:rsidRPr="00957F78">
        <w:rPr>
          <w:rFonts w:ascii="Cambria" w:hAnsi="Cambria"/>
        </w:rPr>
        <w:t xml:space="preserve">a p-value &lt; </w:t>
      </w:r>
      <w:r w:rsidRPr="00957F78">
        <w:rPr>
          <w:rFonts w:ascii="Cambria" w:hAnsi="Cambria" w:cs="Times New Roman"/>
        </w:rPr>
        <w:t>0.05.</w:t>
      </w:r>
    </w:p>
    <w:p w14:paraId="29EA80F7" w14:textId="77777777" w:rsidR="004462E0" w:rsidRPr="00B66CBE" w:rsidRDefault="004462E0" w:rsidP="00B66CBE">
      <w:pPr>
        <w:ind w:left="-426"/>
        <w:rPr>
          <w:rFonts w:ascii="Cambria" w:hAnsi="Cambria" w:cstheme="majorBidi"/>
          <w:b/>
          <w:bCs/>
        </w:rPr>
      </w:pPr>
    </w:p>
    <w:sectPr w:rsidR="004462E0" w:rsidRPr="00B6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A4"/>
    <w:rsid w:val="001F2775"/>
    <w:rsid w:val="002416A2"/>
    <w:rsid w:val="004462E0"/>
    <w:rsid w:val="004C3EA4"/>
    <w:rsid w:val="00520777"/>
    <w:rsid w:val="00605BE2"/>
    <w:rsid w:val="00696C6F"/>
    <w:rsid w:val="0080666A"/>
    <w:rsid w:val="00A168C6"/>
    <w:rsid w:val="00A342F3"/>
    <w:rsid w:val="00A94016"/>
    <w:rsid w:val="00B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4F0D"/>
  <w15:chartTrackingRefBased/>
  <w15:docId w15:val="{00AF2461-822D-4733-B216-E6EEEEDE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C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El Ayoubi</dc:creator>
  <cp:keywords/>
  <dc:description/>
  <cp:lastModifiedBy>Morgan Sorenson</cp:lastModifiedBy>
  <cp:revision>2</cp:revision>
  <dcterms:created xsi:type="dcterms:W3CDTF">2022-08-01T13:55:00Z</dcterms:created>
  <dcterms:modified xsi:type="dcterms:W3CDTF">2022-08-01T13:55:00Z</dcterms:modified>
</cp:coreProperties>
</file>