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2F72" w14:textId="77777777" w:rsidR="00EB2E80" w:rsidRPr="003176F5" w:rsidRDefault="00EB2E80" w:rsidP="00EB2E80">
      <w:pPr>
        <w:spacing w:line="480" w:lineRule="auto"/>
        <w:contextualSpacing/>
        <w:rPr>
          <w:rFonts w:ascii="Arial" w:hAnsi="Arial" w:cs="Arial"/>
          <w:sz w:val="24"/>
          <w:szCs w:val="24"/>
        </w:rPr>
      </w:pPr>
      <w:r>
        <w:rPr>
          <w:rFonts w:ascii="Arial" w:hAnsi="Arial" w:cs="Arial"/>
          <w:b/>
          <w:sz w:val="24"/>
          <w:szCs w:val="24"/>
        </w:rPr>
        <w:t>Table e-1</w:t>
      </w:r>
      <w:r w:rsidRPr="003176F5">
        <w:rPr>
          <w:rFonts w:ascii="Arial" w:hAnsi="Arial" w:cs="Arial"/>
          <w:sz w:val="24"/>
          <w:szCs w:val="24"/>
        </w:rPr>
        <w:t>: Demographic and MS Disease Characteristics for immunophenotyping analysis</w:t>
      </w:r>
    </w:p>
    <w:tbl>
      <w:tblPr>
        <w:tblStyle w:val="TableGrid"/>
        <w:tblW w:w="0" w:type="auto"/>
        <w:tblLook w:val="04A0" w:firstRow="1" w:lastRow="0" w:firstColumn="1" w:lastColumn="0" w:noHBand="0" w:noVBand="1"/>
      </w:tblPr>
      <w:tblGrid>
        <w:gridCol w:w="2088"/>
        <w:gridCol w:w="1742"/>
        <w:gridCol w:w="2128"/>
        <w:gridCol w:w="2160"/>
      </w:tblGrid>
      <w:tr w:rsidR="00EB2E80" w:rsidRPr="003176F5" w14:paraId="6C1E0AD5" w14:textId="77777777" w:rsidTr="00AE308D">
        <w:tc>
          <w:tcPr>
            <w:tcW w:w="2088" w:type="dxa"/>
          </w:tcPr>
          <w:p w14:paraId="4763E9BE" w14:textId="77777777" w:rsidR="00EB2E80" w:rsidRPr="003176F5" w:rsidRDefault="00EB2E80" w:rsidP="00AE308D">
            <w:pPr>
              <w:spacing w:line="480" w:lineRule="auto"/>
              <w:contextualSpacing/>
              <w:rPr>
                <w:rFonts w:ascii="Arial" w:hAnsi="Arial" w:cs="Arial"/>
                <w:sz w:val="24"/>
                <w:szCs w:val="24"/>
              </w:rPr>
            </w:pPr>
          </w:p>
        </w:tc>
        <w:tc>
          <w:tcPr>
            <w:tcW w:w="1742" w:type="dxa"/>
          </w:tcPr>
          <w:p w14:paraId="5F0AF799" w14:textId="77777777" w:rsidR="00EB2E80" w:rsidRPr="003176F5" w:rsidRDefault="00EB2E80" w:rsidP="00AE308D">
            <w:pPr>
              <w:spacing w:line="480" w:lineRule="auto"/>
              <w:contextualSpacing/>
              <w:rPr>
                <w:rFonts w:ascii="Arial" w:hAnsi="Arial" w:cs="Arial"/>
                <w:b/>
                <w:sz w:val="24"/>
                <w:szCs w:val="24"/>
              </w:rPr>
            </w:pPr>
            <w:r w:rsidRPr="003176F5">
              <w:rPr>
                <w:rFonts w:ascii="Arial" w:hAnsi="Arial" w:cs="Arial"/>
                <w:b/>
                <w:sz w:val="24"/>
                <w:szCs w:val="24"/>
              </w:rPr>
              <w:t>Treatment naïve</w:t>
            </w:r>
          </w:p>
          <w:p w14:paraId="42C99B5F"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N=30</w:t>
            </w:r>
          </w:p>
        </w:tc>
        <w:tc>
          <w:tcPr>
            <w:tcW w:w="2128" w:type="dxa"/>
          </w:tcPr>
          <w:p w14:paraId="4B5A6FD7" w14:textId="77777777" w:rsidR="00EB2E80" w:rsidRPr="003176F5" w:rsidRDefault="00EB2E80" w:rsidP="00AE308D">
            <w:pPr>
              <w:spacing w:line="480" w:lineRule="auto"/>
              <w:contextualSpacing/>
              <w:rPr>
                <w:rFonts w:ascii="Arial" w:hAnsi="Arial" w:cs="Arial"/>
                <w:b/>
                <w:sz w:val="24"/>
                <w:szCs w:val="24"/>
              </w:rPr>
            </w:pPr>
            <w:r w:rsidRPr="003176F5">
              <w:rPr>
                <w:rFonts w:ascii="Arial" w:hAnsi="Arial" w:cs="Arial"/>
                <w:b/>
                <w:sz w:val="24"/>
                <w:szCs w:val="24"/>
              </w:rPr>
              <w:t>Glatiramer acetate</w:t>
            </w:r>
          </w:p>
          <w:p w14:paraId="67816D42"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N=12</w:t>
            </w:r>
          </w:p>
        </w:tc>
        <w:tc>
          <w:tcPr>
            <w:tcW w:w="2160" w:type="dxa"/>
          </w:tcPr>
          <w:p w14:paraId="6B497B3A" w14:textId="77777777" w:rsidR="00EB2E80" w:rsidRPr="003176F5" w:rsidRDefault="00EB2E80" w:rsidP="00AE308D">
            <w:pPr>
              <w:spacing w:line="480" w:lineRule="auto"/>
              <w:contextualSpacing/>
              <w:rPr>
                <w:rFonts w:ascii="Arial" w:hAnsi="Arial" w:cs="Arial"/>
                <w:b/>
                <w:sz w:val="24"/>
                <w:szCs w:val="24"/>
              </w:rPr>
            </w:pPr>
            <w:r w:rsidRPr="003176F5">
              <w:rPr>
                <w:rFonts w:ascii="Arial" w:hAnsi="Arial" w:cs="Arial"/>
                <w:b/>
                <w:sz w:val="24"/>
                <w:szCs w:val="24"/>
              </w:rPr>
              <w:t>Dimethyl fumarate</w:t>
            </w:r>
          </w:p>
          <w:p w14:paraId="7D0962BE"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N=26</w:t>
            </w:r>
          </w:p>
        </w:tc>
      </w:tr>
      <w:tr w:rsidR="00EB2E80" w:rsidRPr="003176F5" w14:paraId="33EE3BD4" w14:textId="77777777" w:rsidTr="00AE308D">
        <w:tc>
          <w:tcPr>
            <w:tcW w:w="2088" w:type="dxa"/>
          </w:tcPr>
          <w:p w14:paraId="5792784D"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Age</w:t>
            </w:r>
          </w:p>
        </w:tc>
        <w:tc>
          <w:tcPr>
            <w:tcW w:w="1742" w:type="dxa"/>
          </w:tcPr>
          <w:p w14:paraId="291E039B"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36.47± 11.07</w:t>
            </w:r>
          </w:p>
        </w:tc>
        <w:tc>
          <w:tcPr>
            <w:tcW w:w="2128" w:type="dxa"/>
          </w:tcPr>
          <w:p w14:paraId="7F7D1EC8"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44.1 ± 9.76</w:t>
            </w:r>
          </w:p>
        </w:tc>
        <w:tc>
          <w:tcPr>
            <w:tcW w:w="2160" w:type="dxa"/>
          </w:tcPr>
          <w:p w14:paraId="7E12D7D0"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41.3 ± 10.48</w:t>
            </w:r>
          </w:p>
        </w:tc>
      </w:tr>
      <w:tr w:rsidR="00EB2E80" w:rsidRPr="003176F5" w14:paraId="0672177E" w14:textId="77777777" w:rsidTr="00AE308D">
        <w:tc>
          <w:tcPr>
            <w:tcW w:w="2088" w:type="dxa"/>
          </w:tcPr>
          <w:p w14:paraId="5579F1D5"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Female</w:t>
            </w:r>
          </w:p>
        </w:tc>
        <w:tc>
          <w:tcPr>
            <w:tcW w:w="1742" w:type="dxa"/>
          </w:tcPr>
          <w:p w14:paraId="423F4C99"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14 (46.7%)</w:t>
            </w:r>
          </w:p>
        </w:tc>
        <w:tc>
          <w:tcPr>
            <w:tcW w:w="2128" w:type="dxa"/>
          </w:tcPr>
          <w:p w14:paraId="116A69B8"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8 (66.7%)</w:t>
            </w:r>
          </w:p>
        </w:tc>
        <w:tc>
          <w:tcPr>
            <w:tcW w:w="2160" w:type="dxa"/>
          </w:tcPr>
          <w:p w14:paraId="3A666D0B"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12 (46.2%)</w:t>
            </w:r>
          </w:p>
        </w:tc>
      </w:tr>
      <w:tr w:rsidR="00EB2E80" w:rsidRPr="003176F5" w14:paraId="3F7D66CE" w14:textId="77777777" w:rsidTr="00AE308D">
        <w:tc>
          <w:tcPr>
            <w:tcW w:w="2088" w:type="dxa"/>
          </w:tcPr>
          <w:p w14:paraId="61FBDDBD"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BMI</w:t>
            </w:r>
          </w:p>
        </w:tc>
        <w:tc>
          <w:tcPr>
            <w:tcW w:w="1742" w:type="dxa"/>
          </w:tcPr>
          <w:p w14:paraId="167698DE"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26.2± 5.44</w:t>
            </w:r>
          </w:p>
        </w:tc>
        <w:tc>
          <w:tcPr>
            <w:tcW w:w="2128" w:type="dxa"/>
          </w:tcPr>
          <w:p w14:paraId="5ED34421"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24.9 ± 3.55</w:t>
            </w:r>
          </w:p>
        </w:tc>
        <w:tc>
          <w:tcPr>
            <w:tcW w:w="2160" w:type="dxa"/>
          </w:tcPr>
          <w:p w14:paraId="69E98AC4"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26.3 ± 5.07</w:t>
            </w:r>
          </w:p>
        </w:tc>
      </w:tr>
      <w:tr w:rsidR="00EB2E80" w:rsidRPr="003176F5" w14:paraId="46766600" w14:textId="77777777" w:rsidTr="00AE308D">
        <w:tc>
          <w:tcPr>
            <w:tcW w:w="2088" w:type="dxa"/>
          </w:tcPr>
          <w:p w14:paraId="48DDD25D"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 xml:space="preserve">Disease Duration </w:t>
            </w:r>
          </w:p>
        </w:tc>
        <w:tc>
          <w:tcPr>
            <w:tcW w:w="1742" w:type="dxa"/>
          </w:tcPr>
          <w:p w14:paraId="00DC1859"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2.46 ± 3.5</w:t>
            </w:r>
          </w:p>
        </w:tc>
        <w:tc>
          <w:tcPr>
            <w:tcW w:w="2128" w:type="dxa"/>
          </w:tcPr>
          <w:p w14:paraId="169ECAA7"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12.4 ± 8.2</w:t>
            </w:r>
          </w:p>
        </w:tc>
        <w:tc>
          <w:tcPr>
            <w:tcW w:w="2160" w:type="dxa"/>
          </w:tcPr>
          <w:p w14:paraId="64D1249C"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10.4 ± 8.1</w:t>
            </w:r>
          </w:p>
        </w:tc>
      </w:tr>
      <w:tr w:rsidR="00EB2E80" w:rsidRPr="003176F5" w14:paraId="47203336" w14:textId="77777777" w:rsidTr="00AE308D">
        <w:tc>
          <w:tcPr>
            <w:tcW w:w="2088" w:type="dxa"/>
          </w:tcPr>
          <w:p w14:paraId="4733F0C1"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Treatment Duration</w:t>
            </w:r>
          </w:p>
        </w:tc>
        <w:tc>
          <w:tcPr>
            <w:tcW w:w="1742" w:type="dxa"/>
          </w:tcPr>
          <w:p w14:paraId="2EA80564"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N/A</w:t>
            </w:r>
          </w:p>
        </w:tc>
        <w:tc>
          <w:tcPr>
            <w:tcW w:w="2128" w:type="dxa"/>
          </w:tcPr>
          <w:p w14:paraId="7EE388AB"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4.9 ± 4.3</w:t>
            </w:r>
          </w:p>
        </w:tc>
        <w:tc>
          <w:tcPr>
            <w:tcW w:w="2160" w:type="dxa"/>
          </w:tcPr>
          <w:p w14:paraId="79FF02ED"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1.4 ± 0.7</w:t>
            </w:r>
          </w:p>
        </w:tc>
      </w:tr>
      <w:tr w:rsidR="00EB2E80" w:rsidRPr="003176F5" w14:paraId="4D8FDADF" w14:textId="77777777" w:rsidTr="00AE308D">
        <w:tc>
          <w:tcPr>
            <w:tcW w:w="2088" w:type="dxa"/>
          </w:tcPr>
          <w:p w14:paraId="395974DC"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EDSS</w:t>
            </w:r>
          </w:p>
          <w:p w14:paraId="37E4F862"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Median</w:t>
            </w:r>
          </w:p>
        </w:tc>
        <w:tc>
          <w:tcPr>
            <w:tcW w:w="1742" w:type="dxa"/>
          </w:tcPr>
          <w:p w14:paraId="6619A6FC" w14:textId="77777777" w:rsidR="00EB2E80" w:rsidRPr="003176F5" w:rsidRDefault="00EB2E80" w:rsidP="00AE308D">
            <w:pPr>
              <w:spacing w:line="480" w:lineRule="auto"/>
              <w:contextualSpacing/>
              <w:rPr>
                <w:rFonts w:ascii="Arial" w:hAnsi="Arial" w:cs="Arial"/>
                <w:sz w:val="24"/>
                <w:szCs w:val="24"/>
              </w:rPr>
            </w:pPr>
          </w:p>
          <w:p w14:paraId="0127F428"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1.0</w:t>
            </w:r>
          </w:p>
        </w:tc>
        <w:tc>
          <w:tcPr>
            <w:tcW w:w="2128" w:type="dxa"/>
          </w:tcPr>
          <w:p w14:paraId="74CE5781" w14:textId="77777777" w:rsidR="00EB2E80" w:rsidRPr="003176F5" w:rsidRDefault="00EB2E80" w:rsidP="00AE308D">
            <w:pPr>
              <w:spacing w:line="480" w:lineRule="auto"/>
              <w:contextualSpacing/>
              <w:rPr>
                <w:rFonts w:ascii="Arial" w:hAnsi="Arial" w:cs="Arial"/>
                <w:sz w:val="24"/>
                <w:szCs w:val="24"/>
              </w:rPr>
            </w:pPr>
          </w:p>
          <w:p w14:paraId="2AFFD9D1"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1.5</w:t>
            </w:r>
          </w:p>
        </w:tc>
        <w:tc>
          <w:tcPr>
            <w:tcW w:w="2160" w:type="dxa"/>
          </w:tcPr>
          <w:p w14:paraId="3453DFCC" w14:textId="77777777" w:rsidR="00EB2E80" w:rsidRPr="003176F5" w:rsidRDefault="00EB2E80" w:rsidP="00AE308D">
            <w:pPr>
              <w:spacing w:line="480" w:lineRule="auto"/>
              <w:contextualSpacing/>
              <w:rPr>
                <w:rFonts w:ascii="Arial" w:hAnsi="Arial" w:cs="Arial"/>
                <w:sz w:val="24"/>
                <w:szCs w:val="24"/>
              </w:rPr>
            </w:pPr>
          </w:p>
          <w:p w14:paraId="10BD69C8" w14:textId="77777777" w:rsidR="00EB2E80" w:rsidRPr="003176F5" w:rsidRDefault="00EB2E80" w:rsidP="00AE308D">
            <w:pPr>
              <w:spacing w:line="480" w:lineRule="auto"/>
              <w:contextualSpacing/>
              <w:rPr>
                <w:rFonts w:ascii="Arial" w:hAnsi="Arial" w:cs="Arial"/>
                <w:sz w:val="24"/>
                <w:szCs w:val="24"/>
              </w:rPr>
            </w:pPr>
            <w:r w:rsidRPr="003176F5">
              <w:rPr>
                <w:rFonts w:ascii="Arial" w:hAnsi="Arial" w:cs="Arial"/>
                <w:sz w:val="24"/>
                <w:szCs w:val="24"/>
              </w:rPr>
              <w:t>1.0</w:t>
            </w:r>
          </w:p>
        </w:tc>
      </w:tr>
    </w:tbl>
    <w:p w14:paraId="22CC8637" w14:textId="77777777" w:rsidR="00EB2E80" w:rsidRPr="003176F5" w:rsidRDefault="00EB2E80" w:rsidP="00EB2E80">
      <w:pPr>
        <w:spacing w:line="480" w:lineRule="auto"/>
        <w:contextualSpacing/>
        <w:rPr>
          <w:rFonts w:ascii="Arial" w:hAnsi="Arial" w:cs="Arial"/>
          <w:sz w:val="24"/>
          <w:szCs w:val="24"/>
        </w:rPr>
      </w:pPr>
    </w:p>
    <w:p w14:paraId="1B45A05C" w14:textId="77777777" w:rsidR="00EB2E80" w:rsidRPr="003176F5" w:rsidRDefault="00EB2E80" w:rsidP="00EB2E80">
      <w:pPr>
        <w:spacing w:line="480" w:lineRule="auto"/>
        <w:contextualSpacing/>
        <w:rPr>
          <w:rFonts w:ascii="Arial" w:hAnsi="Arial" w:cs="Arial"/>
          <w:sz w:val="24"/>
          <w:szCs w:val="24"/>
        </w:rPr>
      </w:pPr>
      <w:r w:rsidRPr="003176F5">
        <w:rPr>
          <w:rFonts w:ascii="Arial" w:hAnsi="Arial" w:cs="Arial"/>
          <w:sz w:val="24"/>
          <w:szCs w:val="24"/>
        </w:rPr>
        <w:t xml:space="preserve">All values are expressed as mean ± standard deviation (except EDSS where both </w:t>
      </w:r>
      <w:proofErr w:type="gramStart"/>
      <w:r w:rsidRPr="003176F5">
        <w:rPr>
          <w:rFonts w:ascii="Arial" w:hAnsi="Arial" w:cs="Arial"/>
          <w:sz w:val="24"/>
          <w:szCs w:val="24"/>
        </w:rPr>
        <w:t>mean</w:t>
      </w:r>
      <w:proofErr w:type="gramEnd"/>
      <w:r w:rsidRPr="003176F5">
        <w:rPr>
          <w:rFonts w:ascii="Arial" w:hAnsi="Arial" w:cs="Arial"/>
          <w:sz w:val="24"/>
          <w:szCs w:val="24"/>
        </w:rPr>
        <w:t xml:space="preserve"> and median are provided).  BMI= body mass index.  Disease duration is expressed in years, calculated from the time of first symptom onset to the time of stool sample collection.  Treatment duration is expressed in years.  EDSS= Expanded Disability Status Scale.  </w:t>
      </w:r>
    </w:p>
    <w:p w14:paraId="29F769D0" w14:textId="77777777" w:rsidR="00F72043" w:rsidRDefault="00F72043">
      <w:bookmarkStart w:id="0" w:name="_GoBack"/>
      <w:bookmarkEnd w:id="0"/>
    </w:p>
    <w:sectPr w:rsidR="00F7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80"/>
    <w:rsid w:val="00312AEF"/>
    <w:rsid w:val="00EB2E80"/>
    <w:rsid w:val="00F7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5989"/>
  <w15:chartTrackingRefBased/>
  <w15:docId w15:val="{48E8EC3D-3A3B-477D-BA5B-15E20E5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E80"/>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2018-09-10T17:40:00Z</dcterms:created>
  <dcterms:modified xsi:type="dcterms:W3CDTF">2018-09-10T17:41:00Z</dcterms:modified>
</cp:coreProperties>
</file>