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E7FE4" w14:textId="7C340EE7" w:rsidR="00FE732B" w:rsidRPr="00FE732B" w:rsidRDefault="00BE08C7" w:rsidP="00714464">
      <w:pPr>
        <w:pStyle w:val="1"/>
        <w:spacing w:before="0" w:beforeAutospacing="0" w:after="0" w:afterAutospacing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eMaterial</w:t>
      </w:r>
      <w:r w:rsidR="00FE732B" w:rsidRPr="00FE732B">
        <w:rPr>
          <w:rFonts w:ascii="Times New Roman" w:hAnsi="Times New Roman" w:cs="Times New Roman"/>
          <w:color w:val="000000" w:themeColor="text1"/>
          <w:sz w:val="24"/>
          <w:szCs w:val="24"/>
        </w:rPr>
        <w:t>：</w:t>
      </w:r>
    </w:p>
    <w:p w14:paraId="00C797A0" w14:textId="1B4559D7" w:rsidR="00FE732B" w:rsidRPr="00CE3D9C" w:rsidRDefault="00983400" w:rsidP="00714464">
      <w:pPr>
        <w:pStyle w:val="1"/>
        <w:spacing w:before="0" w:beforeAutospacing="0" w:after="0" w:afterAutospacing="0" w:line="480" w:lineRule="auto"/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  <w:szCs w:val="24"/>
        </w:rPr>
      </w:pPr>
      <w:r w:rsidRPr="00CE3D9C"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  <w:szCs w:val="24"/>
        </w:rPr>
        <w:t>T</w:t>
      </w:r>
      <w:r w:rsidR="00714464" w:rsidRPr="00CE3D9C"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  <w:szCs w:val="24"/>
        </w:rPr>
        <w:t>esting for GlyR and GABA</w:t>
      </w:r>
      <w:r w:rsidR="00714464" w:rsidRPr="00CE3D9C"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  <w:szCs w:val="24"/>
          <w:vertAlign w:val="subscript"/>
        </w:rPr>
        <w:t>B</w:t>
      </w:r>
      <w:r w:rsidR="00714464" w:rsidRPr="00CE3D9C"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  <w:szCs w:val="24"/>
        </w:rPr>
        <w:t xml:space="preserve"> receptor (GABA</w:t>
      </w:r>
      <w:r w:rsidR="00714464" w:rsidRPr="00CE3D9C"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  <w:szCs w:val="24"/>
          <w:vertAlign w:val="subscript"/>
        </w:rPr>
        <w:t>B</w:t>
      </w:r>
      <w:r w:rsidR="00714464" w:rsidRPr="00CE3D9C"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  <w:szCs w:val="24"/>
        </w:rPr>
        <w:t>R) antibodies</w:t>
      </w:r>
    </w:p>
    <w:p w14:paraId="7CDD159B" w14:textId="129F1C3B" w:rsidR="00FE732B" w:rsidRPr="00CE3D9C" w:rsidRDefault="00FE732B" w:rsidP="00714464">
      <w:pPr>
        <w:pStyle w:val="1"/>
        <w:spacing w:before="0" w:beforeAutospacing="0" w:after="0" w:afterAutospacing="0" w:line="480" w:lineRule="auto"/>
        <w:rPr>
          <w:rFonts w:ascii="Times New Roman" w:eastAsia="ＭＳ 明朝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E3D9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The </w:t>
      </w:r>
      <w:r w:rsidR="002459B0" w:rsidRPr="00CE3D9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open reading frames of GlyR (</w:t>
      </w:r>
      <w:r w:rsidRPr="00CE3D9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glycine receptor alpha1:</w:t>
      </w:r>
      <w:r w:rsidR="00346EE5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CE3D9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G</w:t>
      </w:r>
      <w:r w:rsidR="002459B0" w:rsidRPr="00CE3D9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LRA1, accession no.</w:t>
      </w:r>
      <w:r w:rsidRPr="00CE3D9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NM_000171.4) or GAB</w:t>
      </w:r>
      <w:r w:rsidR="002459B0" w:rsidRPr="00CE3D9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A</w:t>
      </w:r>
      <w:r w:rsidR="002459B0" w:rsidRPr="00CE3D9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vertAlign w:val="subscript"/>
        </w:rPr>
        <w:t>B</w:t>
      </w:r>
      <w:r w:rsidRPr="00CE3D9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R (GABB</w:t>
      </w:r>
      <w:r w:rsidR="00AE7FB1" w:rsidRPr="00CE3D9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R</w:t>
      </w:r>
      <w:r w:rsidRPr="00CE3D9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1</w:t>
      </w:r>
      <w:r w:rsidR="002459B0" w:rsidRPr="00CE3D9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, accession no.</w:t>
      </w:r>
      <w:r w:rsidRPr="00CE3D9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NM_001470</w:t>
      </w:r>
      <w:r w:rsidR="00CE3971" w:rsidRPr="00CE3D9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.4</w:t>
      </w:r>
      <w:r w:rsidRPr="00CE3D9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) were amplified </w:t>
      </w:r>
      <w:r w:rsidR="00AE7FB1" w:rsidRPr="00CE3D9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by</w:t>
      </w:r>
      <w:r w:rsidRPr="00CE3D9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PCR using KOD One DNA polymerase </w:t>
      </w:r>
      <w:r w:rsidR="002459B0" w:rsidRPr="00CE3D9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with </w:t>
      </w:r>
      <w:r w:rsidRPr="00CE3D9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following primers: GlyR; forward (5’</w:t>
      </w:r>
      <w:bookmarkStart w:id="0" w:name="_Hlk116048798"/>
      <w:r w:rsidR="009E18BC" w:rsidRPr="00CE3D9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–</w:t>
      </w:r>
      <w:bookmarkEnd w:id="0"/>
      <w:r w:rsidRPr="00CE3D9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3’):</w:t>
      </w:r>
      <w:r w:rsidR="00BA4210" w:rsidRPr="00CE3D9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CE3D9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TGAGGAATTCTCTAGAGCCACCATGTACAGCTTCAATACTCTTCGACTCT, and reverse (5’</w:t>
      </w:r>
      <w:r w:rsidR="009E18BC" w:rsidRPr="00CE3D9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–</w:t>
      </w:r>
      <w:r w:rsidRPr="00CE3D9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3’): GGACCCTCACTCTAGATCACTGGTTGTGGACGTCCTCTCT-3’</w:t>
      </w:r>
      <w:r w:rsidR="00BA4210" w:rsidRPr="00CE3D9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; </w:t>
      </w:r>
      <w:r w:rsidRPr="00CE3D9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and GABA</w:t>
      </w:r>
      <w:r w:rsidR="00257458" w:rsidRPr="00CE3D9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vertAlign w:val="subscript"/>
        </w:rPr>
        <w:t>B</w:t>
      </w:r>
      <w:r w:rsidRPr="00CE3D9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R, forward (5’</w:t>
      </w:r>
      <w:r w:rsidR="009E18BC" w:rsidRPr="00CE3D9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–</w:t>
      </w:r>
      <w:r w:rsidRPr="00CE3D9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3’): TGAGGAATTCTCTAGAGCCACCATGTTGCTGCTGCTGCTACTGGCGCCAC, and reverse (5’</w:t>
      </w:r>
      <w:r w:rsidR="009E18BC" w:rsidRPr="00CE3D9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–</w:t>
      </w:r>
      <w:r w:rsidRPr="00CE3D9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3’): GGACCCTCACTCTAGATCACTTATAAAGCAAATGCACTCG. T</w:t>
      </w:r>
      <w:r w:rsidR="00DA17C5" w:rsidRPr="00CE3D9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he PCR product w</w:t>
      </w:r>
      <w:r w:rsidR="00257458" w:rsidRPr="00CE3D9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ere</w:t>
      </w:r>
      <w:r w:rsidR="00DA17C5" w:rsidRPr="00CE3D9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inserted at XbaI cloning site of pEF1</w:t>
      </w:r>
      <w:r w:rsidR="00257458" w:rsidRPr="00CE3D9C">
        <w:rPr>
          <w:rFonts w:ascii="Times New Roman" w:eastAsia="Osaka" w:hAnsi="Times New Roman"/>
          <w:b w:val="0"/>
          <w:bCs w:val="0"/>
          <w:kern w:val="0"/>
          <w:sz w:val="24"/>
          <w:szCs w:val="24"/>
        </w:rPr>
        <w:t>alpha</w:t>
      </w:r>
      <w:r w:rsidR="00DA17C5" w:rsidRPr="00CE3D9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promoter-SV40Neo plasmid by In-Fusion HD cloning Kit (Clontech, CA, USA) to generate GlyR or GAB</w:t>
      </w:r>
      <w:r w:rsidR="000C0700" w:rsidRPr="00CE3D9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A</w:t>
      </w:r>
      <w:r w:rsidR="000C0700" w:rsidRPr="00CE3D9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vertAlign w:val="subscript"/>
        </w:rPr>
        <w:t>B</w:t>
      </w:r>
      <w:r w:rsidR="00DA17C5" w:rsidRPr="00CE3D9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R expression vectors</w:t>
      </w:r>
      <w:r w:rsidR="00F43A2D" w:rsidRPr="00CE3D9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.</w:t>
      </w:r>
      <w:r w:rsidR="00DA17C5" w:rsidRPr="00CE3D9C">
        <w:rPr>
          <w:rFonts w:ascii="Times New Roman" w:hAnsi="Times New Roman" w:cs="Times New Roman" w:hint="eastAsia"/>
          <w:b w:val="0"/>
          <w:bCs w:val="0"/>
          <w:color w:val="000000" w:themeColor="text1"/>
          <w:sz w:val="24"/>
          <w:szCs w:val="24"/>
        </w:rPr>
        <w:t xml:space="preserve"> </w:t>
      </w:r>
      <w:r w:rsidR="000C0700" w:rsidRPr="00CE3D9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Each</w:t>
      </w:r>
      <w:r w:rsidR="00DA17C5" w:rsidRPr="00CE3D9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linearized expression vector was electroporated to HEK293 cells by using G</w:t>
      </w:r>
      <w:r w:rsidR="00F43A2D" w:rsidRPr="00CE3D9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e</w:t>
      </w:r>
      <w:r w:rsidR="00DA17C5" w:rsidRPr="00CE3D9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ne Pulser Xcell (BIO-RAD, CA, USA). The cells were selected with G418 to establish stably GlyR or GABA</w:t>
      </w:r>
      <w:r w:rsidR="00DA17C5" w:rsidRPr="00CE3D9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vertAlign w:val="subscript"/>
        </w:rPr>
        <w:t>B</w:t>
      </w:r>
      <w:r w:rsidR="00DA17C5" w:rsidRPr="00CE3D9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R expression cells. GlyR or GABA</w:t>
      </w:r>
      <w:r w:rsidR="00DA17C5" w:rsidRPr="00CE3D9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vertAlign w:val="subscript"/>
        </w:rPr>
        <w:t>B</w:t>
      </w:r>
      <w:r w:rsidR="00DA17C5" w:rsidRPr="00CE3D9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R expressing cells were </w:t>
      </w:r>
      <w:r w:rsidRPr="00CE3D9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washed with 0.1 M phosphate-buffered saline (PBS, pH 7.4) and </w:t>
      </w:r>
      <w:r w:rsidR="00504AC8" w:rsidRPr="00CE3D9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incubated with patient sera (1:10–400) or CSF (1:2–10) in 10% goat serum in PBS overnight at 4 °C and then </w:t>
      </w:r>
      <w:r w:rsidRPr="00CE3D9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fixed in 4% paraformaldehyde in PBS for 20 min. </w:t>
      </w:r>
      <w:r w:rsidR="00504AC8" w:rsidRPr="00CE3D9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After washing with PBS, the cells were incubated with Alexa Fluor-conjugated anti</w:t>
      </w:r>
      <w:r w:rsidR="005E3DA9" w:rsidRPr="00CE3D9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-</w:t>
      </w:r>
      <w:r w:rsidR="00504AC8" w:rsidRPr="00CE3D9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human IgG (Thermo Fisher Scientific, K.K., Tokyo, Japan; </w:t>
      </w:r>
      <w:r w:rsidR="00504AC8" w:rsidRPr="00CE3D9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lastRenderedPageBreak/>
        <w:t xml:space="preserve">1:500) for 1 hour. </w:t>
      </w:r>
      <w:r w:rsidRPr="00CE3D9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SlowFade Gold antifade reagent (Invitrogen Japan, Tokyo, Japan) was applied to the slides, and staining was observed under a fluorescence microscope (Axiovision, Zeiss, Germany). To confirm the localization of GlyR- and </w:t>
      </w:r>
      <w:r w:rsidR="00BA4210" w:rsidRPr="00CE3D9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GABA</w:t>
      </w:r>
      <w:r w:rsidR="00BA4210" w:rsidRPr="00CE3D9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vertAlign w:val="subscript"/>
        </w:rPr>
        <w:t>B</w:t>
      </w:r>
      <w:r w:rsidR="00BA4210" w:rsidRPr="00CE3D9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R</w:t>
      </w:r>
      <w:r w:rsidRPr="00CE3D9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-antibody binding sites, double staining was performed in a mixture of patient sera/CSF and rabbit anti-GlyR (Cosmo Bio, Tokyo, Japan; 1:500) or anti-</w:t>
      </w:r>
      <w:r w:rsidR="00BA4210" w:rsidRPr="00CE3D9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GABA</w:t>
      </w:r>
      <w:r w:rsidR="00BA4210" w:rsidRPr="00CE3D9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vertAlign w:val="subscript"/>
        </w:rPr>
        <w:t>B</w:t>
      </w:r>
      <w:r w:rsidR="00BA4210" w:rsidRPr="00CE3D9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R</w:t>
      </w:r>
      <w:r w:rsidRPr="00CE3D9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(Abcam, Tokyo, Japan; 1:500) antibodies. Antibody binding was visualized by Alexa Fluor</w:t>
      </w:r>
      <w:r w:rsidR="00825012" w:rsidRPr="00CE3D9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CE3D9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488 anti-human IgG and Alexa Fluor</w:t>
      </w:r>
      <w:r w:rsidR="00825012" w:rsidRPr="00CE3D9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CE3D9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594 anti-rabbit IgG, </w:t>
      </w:r>
      <w:r w:rsidR="00BA4210" w:rsidRPr="00CE3D9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and </w:t>
      </w:r>
      <w:r w:rsidRPr="00CE3D9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observed under a fluorescence microscope (Axiovision, Zeiss, Germany).</w:t>
      </w:r>
      <w:r w:rsidRPr="00CE3D9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br/>
        <w:t>Other autoantibodies against NMDAR, AMPAR, LGI1, GABA</w:t>
      </w:r>
      <w:r w:rsidR="00B235BF" w:rsidRPr="00CE3D9C">
        <w:rPr>
          <w:rFonts w:ascii="Times New Roman" w:hAnsi="Times New Roman" w:cs="Times New Roman"/>
          <w:b w:val="0"/>
          <w:bCs w:val="0"/>
          <w:color w:val="000000" w:themeColor="text1"/>
          <w:position w:val="-2"/>
          <w:sz w:val="24"/>
          <w:szCs w:val="24"/>
          <w:vertAlign w:val="subscript"/>
        </w:rPr>
        <w:t>A</w:t>
      </w:r>
      <w:r w:rsidRPr="00CE3D9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R, and CASPR2 were also examined </w:t>
      </w:r>
      <w:r w:rsidR="00895F3D" w:rsidRPr="00CE3D9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by</w:t>
      </w:r>
      <w:r w:rsidRPr="00CE3D9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825012" w:rsidRPr="00CE3D9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an </w:t>
      </w:r>
      <w:r w:rsidRPr="00CE3D9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in-house cell-based assay (CBA) </w:t>
      </w:r>
      <w:r w:rsidR="002459B0" w:rsidRPr="00CE3D9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using stably antigen-expressing cells or transiently cDNA-transfected cells using lipofectamine reagent (Invitrogen Japan, Tokyo, Japan) in </w:t>
      </w:r>
      <w:r w:rsidRPr="00CE3D9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Niigata University</w:t>
      </w:r>
      <w:r w:rsidR="00BA4210" w:rsidRPr="00CE3D9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.</w:t>
      </w:r>
      <w:r w:rsidR="002D4CB5" w:rsidRPr="00CE3D9C">
        <w:rPr>
          <w:rFonts w:ascii="Times New Roman" w:hAnsi="Times New Roman" w:cs="Times New Roman"/>
          <w:b w:val="0"/>
          <w:bCs w:val="0"/>
          <w:color w:val="000000" w:themeColor="text1"/>
          <w:position w:val="6"/>
          <w:sz w:val="24"/>
          <w:szCs w:val="24"/>
        </w:rPr>
        <w:t>e1</w:t>
      </w:r>
    </w:p>
    <w:p w14:paraId="450D4190" w14:textId="71687310" w:rsidR="00FE732B" w:rsidRPr="00CE3D9C" w:rsidRDefault="002E01FD" w:rsidP="00F74A47">
      <w:pPr>
        <w:pStyle w:val="1"/>
        <w:spacing w:before="0" w:beforeAutospacing="0" w:after="0" w:afterAutospacing="0" w:line="480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E3D9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W</w:t>
      </w:r>
      <w:r w:rsidR="006A5D5E" w:rsidRPr="00CE3D9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e </w:t>
      </w:r>
      <w:r w:rsidR="00046D17" w:rsidRPr="00CE3D9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subjected </w:t>
      </w:r>
      <w:r w:rsidR="006A5D5E" w:rsidRPr="00CE3D9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control samples (10 </w:t>
      </w:r>
      <w:r w:rsidR="00825012" w:rsidRPr="00CE3D9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serum samples </w:t>
      </w:r>
      <w:r w:rsidR="006A5D5E" w:rsidRPr="00CE3D9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from healthy volunteers</w:t>
      </w:r>
      <w:r w:rsidR="00857B2D" w:rsidRPr="00CE3D9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; </w:t>
      </w:r>
      <w:r w:rsidR="006A5D5E" w:rsidRPr="00CE3D9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5 CSF </w:t>
      </w:r>
      <w:r w:rsidR="00825012" w:rsidRPr="00CE3D9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samples </w:t>
      </w:r>
      <w:r w:rsidR="006A5D5E" w:rsidRPr="00CE3D9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from iNPH</w:t>
      </w:r>
      <w:r w:rsidR="00857B2D" w:rsidRPr="00CE3D9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; and </w:t>
      </w:r>
      <w:r w:rsidR="006A5D5E" w:rsidRPr="00CE3D9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35 </w:t>
      </w:r>
      <w:r w:rsidR="00825012" w:rsidRPr="00CE3D9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serum</w:t>
      </w:r>
      <w:r w:rsidR="006A5D5E" w:rsidRPr="00CE3D9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/CSF </w:t>
      </w:r>
      <w:r w:rsidR="00825012" w:rsidRPr="00CE3D9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samples </w:t>
      </w:r>
      <w:r w:rsidR="006A5D5E" w:rsidRPr="00CE3D9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from </w:t>
      </w:r>
      <w:r w:rsidR="00C23854" w:rsidRPr="00CE3D9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patients with </w:t>
      </w:r>
      <w:r w:rsidR="006A5D5E" w:rsidRPr="00CE3D9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neurodegenerative disorders </w:t>
      </w:r>
      <w:r w:rsidR="00BA4210" w:rsidRPr="00CE3D9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such </w:t>
      </w:r>
      <w:r w:rsidR="006A5D5E" w:rsidRPr="00CE3D9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as Parkinson’s disease, multisystem atrophy, PSP</w:t>
      </w:r>
      <w:r w:rsidR="00BA4210" w:rsidRPr="00CE3D9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,</w:t>
      </w:r>
      <w:r w:rsidR="006A5D5E" w:rsidRPr="00CE3D9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and ALS) </w:t>
      </w:r>
      <w:r w:rsidR="00046D17" w:rsidRPr="00CE3D9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to</w:t>
      </w:r>
      <w:r w:rsidRPr="00CE3D9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the in-house CBA </w:t>
      </w:r>
      <w:r w:rsidR="00B9449A" w:rsidRPr="00CE3D9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but obtained</w:t>
      </w:r>
      <w:r w:rsidRPr="00CE3D9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6A5D5E" w:rsidRPr="00CE3D9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negative </w:t>
      </w:r>
      <w:r w:rsidR="00046D17" w:rsidRPr="00CE3D9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results for all regardless of the</w:t>
      </w:r>
      <w:r w:rsidR="006A5D5E" w:rsidRPr="00CE3D9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antigen</w:t>
      </w:r>
      <w:r w:rsidR="00046D17" w:rsidRPr="00CE3D9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used</w:t>
      </w:r>
      <w:r w:rsidR="006A5D5E" w:rsidRPr="00CE3D9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.</w:t>
      </w:r>
    </w:p>
    <w:p w14:paraId="213433C0" w14:textId="77777777" w:rsidR="006A5D5E" w:rsidRPr="00CE3D9C" w:rsidRDefault="006A5D5E" w:rsidP="00F74A47">
      <w:pPr>
        <w:pStyle w:val="1"/>
        <w:spacing w:before="0" w:beforeAutospacing="0" w:after="0" w:afterAutospacing="0" w:line="480" w:lineRule="auto"/>
        <w:rPr>
          <w:rFonts w:ascii="Times New Roman" w:eastAsia="ＭＳ 明朝" w:hAnsi="Times New Roman" w:cs="Times New Roman"/>
          <w:b w:val="0"/>
          <w:bCs w:val="0"/>
          <w:color w:val="000000" w:themeColor="text1"/>
          <w:sz w:val="24"/>
          <w:szCs w:val="24"/>
        </w:rPr>
      </w:pPr>
    </w:p>
    <w:p w14:paraId="23B09148" w14:textId="77777777" w:rsidR="00AD639E" w:rsidRDefault="00AD639E">
      <w:pPr>
        <w:widowControl/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14:paraId="2F24BEEC" w14:textId="6C55692B" w:rsidR="00944FBB" w:rsidRPr="00CE3D9C" w:rsidRDefault="00944FBB" w:rsidP="00944FBB">
      <w:pPr>
        <w:spacing w:line="480" w:lineRule="auto"/>
        <w:rPr>
          <w:rFonts w:ascii="Times New Roman" w:hAnsi="Times New Roman"/>
          <w:b/>
          <w:bCs/>
        </w:rPr>
      </w:pPr>
      <w:r w:rsidRPr="00CE3D9C">
        <w:rPr>
          <w:rFonts w:ascii="Times New Roman" w:hAnsi="Times New Roman"/>
          <w:b/>
          <w:bCs/>
        </w:rPr>
        <w:lastRenderedPageBreak/>
        <w:t xml:space="preserve">eTable 1 </w:t>
      </w:r>
      <w:r w:rsidRPr="00CE3D9C">
        <w:rPr>
          <w:rFonts w:ascii="Times New Roman" w:hAnsi="Times New Roman"/>
          <w:b/>
          <w:kern w:val="0"/>
        </w:rPr>
        <w:t xml:space="preserve">Diagnostic criteria for stiff-person syndrome adopted from </w:t>
      </w:r>
      <w:r w:rsidR="00BE08C7" w:rsidRPr="00CE3D9C">
        <w:rPr>
          <w:rFonts w:ascii="Times New Roman" w:hAnsi="Times New Roman"/>
          <w:b/>
          <w:kern w:val="0"/>
        </w:rPr>
        <w:t xml:space="preserve">the work of </w:t>
      </w:r>
      <w:r w:rsidRPr="00CE3D9C">
        <w:rPr>
          <w:rFonts w:ascii="Times New Roman" w:hAnsi="Times New Roman"/>
          <w:b/>
          <w:kern w:val="0"/>
        </w:rPr>
        <w:t>Dalakas MC</w:t>
      </w:r>
      <w:r w:rsidR="00BE08C7" w:rsidRPr="00CE3D9C">
        <w:rPr>
          <w:rFonts w:ascii="Times New Roman" w:hAnsi="Times New Roman"/>
          <w:color w:val="000000" w:themeColor="text1"/>
          <w:position w:val="6"/>
        </w:rPr>
        <w:t>1</w:t>
      </w:r>
    </w:p>
    <w:p w14:paraId="38D82141" w14:textId="1A28A1B7" w:rsidR="00332D70" w:rsidRPr="004B488F" w:rsidRDefault="00B829C6" w:rsidP="00B829C6">
      <w:pPr>
        <w:spacing w:line="480" w:lineRule="auto"/>
        <w:rPr>
          <w:rFonts w:ascii="Times New Roman" w:hAnsi="Times New Roman"/>
          <w:b/>
          <w:bCs/>
        </w:rPr>
      </w:pPr>
      <w:r w:rsidRPr="004B488F">
        <w:rPr>
          <w:rFonts w:ascii="Times New Roman" w:hAnsi="Times New Roman"/>
          <w:b/>
          <w:bCs/>
        </w:rPr>
        <w:t xml:space="preserve">eTable 2 </w:t>
      </w:r>
      <w:r w:rsidR="00332D70" w:rsidRPr="004B488F">
        <w:rPr>
          <w:rFonts w:ascii="Times New Roman" w:hAnsi="Times New Roman"/>
          <w:b/>
          <w:bCs/>
        </w:rPr>
        <w:t xml:space="preserve">Antibody findings of 55 SPS patients </w:t>
      </w:r>
    </w:p>
    <w:p w14:paraId="2C950C9A" w14:textId="77777777" w:rsidR="00DE2B68" w:rsidRPr="004B488F" w:rsidRDefault="00DE2B68" w:rsidP="00CB2A16">
      <w:pPr>
        <w:spacing w:line="480" w:lineRule="auto"/>
        <w:rPr>
          <w:rFonts w:ascii="Times New Roman" w:hAnsi="Times New Roman"/>
          <w:b/>
          <w:bCs/>
        </w:rPr>
      </w:pPr>
    </w:p>
    <w:p w14:paraId="3FAB7D07" w14:textId="77777777" w:rsidR="00AD639E" w:rsidRPr="004B488F" w:rsidRDefault="00FF7C04" w:rsidP="00CB2A16">
      <w:pPr>
        <w:spacing w:line="480" w:lineRule="auto"/>
        <w:rPr>
          <w:rFonts w:ascii="Times New Roman" w:hAnsi="Times New Roman"/>
          <w:b/>
          <w:bCs/>
        </w:rPr>
      </w:pPr>
      <w:r w:rsidRPr="004B488F">
        <w:rPr>
          <w:rFonts w:ascii="Times New Roman" w:hAnsi="Times New Roman"/>
          <w:b/>
          <w:bCs/>
        </w:rPr>
        <w:t xml:space="preserve">eTable </w:t>
      </w:r>
      <w:r w:rsidR="00B829C6" w:rsidRPr="004B488F">
        <w:rPr>
          <w:rFonts w:ascii="Times New Roman" w:hAnsi="Times New Roman"/>
          <w:b/>
          <w:bCs/>
        </w:rPr>
        <w:t>3</w:t>
      </w:r>
      <w:r w:rsidRPr="004B488F">
        <w:rPr>
          <w:rFonts w:ascii="Times New Roman" w:hAnsi="Times New Roman"/>
          <w:b/>
          <w:bCs/>
        </w:rPr>
        <w:t xml:space="preserve"> </w:t>
      </w:r>
      <w:r w:rsidR="00AD639E" w:rsidRPr="004B488F">
        <w:rPr>
          <w:rFonts w:ascii="Times" w:hAnsi="Times"/>
          <w:b/>
          <w:bCs/>
        </w:rPr>
        <w:t>Clinical characteristics of GAD65- and GlyR- positive patients</w:t>
      </w:r>
      <w:r w:rsidR="00AD639E" w:rsidRPr="004B488F">
        <w:rPr>
          <w:rFonts w:ascii="Times New Roman" w:hAnsi="Times New Roman"/>
          <w:b/>
          <w:bCs/>
        </w:rPr>
        <w:t xml:space="preserve"> </w:t>
      </w:r>
    </w:p>
    <w:p w14:paraId="7A3B8E3E" w14:textId="77777777" w:rsidR="00FF7C04" w:rsidRPr="004B488F" w:rsidRDefault="00FF7C04" w:rsidP="00CB2A16">
      <w:pPr>
        <w:spacing w:line="480" w:lineRule="auto"/>
        <w:rPr>
          <w:rFonts w:ascii="Times New Roman" w:hAnsi="Times New Roman"/>
          <w:b/>
          <w:bCs/>
        </w:rPr>
      </w:pPr>
    </w:p>
    <w:p w14:paraId="4F34A38A" w14:textId="77777777" w:rsidR="00AD639E" w:rsidRPr="004B488F" w:rsidRDefault="00644D3B" w:rsidP="00AD639E">
      <w:pPr>
        <w:spacing w:line="480" w:lineRule="auto"/>
        <w:rPr>
          <w:rFonts w:ascii="Times New Roman" w:hAnsi="Times New Roman"/>
          <w:b/>
          <w:bCs/>
        </w:rPr>
      </w:pPr>
      <w:r w:rsidRPr="004B488F">
        <w:rPr>
          <w:rFonts w:ascii="Times New Roman" w:hAnsi="Times New Roman"/>
          <w:b/>
          <w:bCs/>
        </w:rPr>
        <w:t xml:space="preserve">eTable </w:t>
      </w:r>
      <w:r w:rsidR="00B829C6" w:rsidRPr="004B488F">
        <w:rPr>
          <w:rFonts w:ascii="Times New Roman" w:hAnsi="Times New Roman"/>
          <w:b/>
          <w:bCs/>
        </w:rPr>
        <w:t>4</w:t>
      </w:r>
      <w:r w:rsidRPr="004B488F">
        <w:rPr>
          <w:rFonts w:ascii="Times New Roman" w:hAnsi="Times New Roman"/>
          <w:b/>
          <w:bCs/>
        </w:rPr>
        <w:t xml:space="preserve"> </w:t>
      </w:r>
      <w:r w:rsidR="00AD639E" w:rsidRPr="004B488F">
        <w:rPr>
          <w:rFonts w:ascii="Times New Roman" w:hAnsi="Times New Roman"/>
          <w:b/>
          <w:bCs/>
        </w:rPr>
        <w:t>Characteristics, longitudinal outcomes, and treatment of 29 GAD65 antibody-positive patients</w:t>
      </w:r>
    </w:p>
    <w:p w14:paraId="0BC5DC59" w14:textId="3172BE99" w:rsidR="00644D3B" w:rsidRPr="004B488F" w:rsidRDefault="00644D3B" w:rsidP="00644D3B">
      <w:pPr>
        <w:spacing w:line="480" w:lineRule="auto"/>
        <w:rPr>
          <w:rFonts w:ascii="Times" w:hAnsi="Times"/>
          <w:b/>
          <w:bCs/>
        </w:rPr>
      </w:pPr>
    </w:p>
    <w:p w14:paraId="459E7E05" w14:textId="77777777" w:rsidR="00AD639E" w:rsidRPr="00CE3D9C" w:rsidRDefault="00AD639E" w:rsidP="00AD639E">
      <w:pPr>
        <w:spacing w:line="480" w:lineRule="auto"/>
        <w:rPr>
          <w:rFonts w:ascii="Times New Roman" w:hAnsi="Times New Roman"/>
          <w:b/>
          <w:bCs/>
        </w:rPr>
      </w:pPr>
      <w:r w:rsidRPr="004B488F">
        <w:rPr>
          <w:rFonts w:ascii="Times New Roman" w:hAnsi="Times New Roman"/>
          <w:b/>
          <w:bCs/>
        </w:rPr>
        <w:t>eTable 5 GlyR-positive and seronegative patients, and other categories</w:t>
      </w:r>
    </w:p>
    <w:p w14:paraId="51E63B8D" w14:textId="77777777" w:rsidR="00F57B48" w:rsidRPr="00304260" w:rsidRDefault="00F57B48" w:rsidP="00304260">
      <w:pPr>
        <w:spacing w:line="480" w:lineRule="auto"/>
        <w:rPr>
          <w:rFonts w:ascii="Times New Roman" w:hAnsi="Times New Roman"/>
          <w:b/>
          <w:bCs/>
          <w:color w:val="000000" w:themeColor="text1"/>
        </w:rPr>
      </w:pPr>
    </w:p>
    <w:p w14:paraId="00EA0382" w14:textId="77777777" w:rsidR="00AD639E" w:rsidRDefault="00AD639E">
      <w:pPr>
        <w:widowControl/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14:paraId="058100D6" w14:textId="47C237F8" w:rsidR="00C62A44" w:rsidRPr="00D24A6B" w:rsidRDefault="007D6D46" w:rsidP="00E51290">
      <w:pPr>
        <w:spacing w:line="480" w:lineRule="auto"/>
        <w:rPr>
          <w:rFonts w:ascii="Times New Roman" w:hAnsi="Times New Roman"/>
          <w:b/>
          <w:bCs/>
        </w:rPr>
      </w:pPr>
      <w:r w:rsidRPr="00D24A6B">
        <w:rPr>
          <w:rFonts w:ascii="Times New Roman" w:hAnsi="Times New Roman"/>
          <w:b/>
          <w:bCs/>
        </w:rPr>
        <w:lastRenderedPageBreak/>
        <w:t>eReferences</w:t>
      </w:r>
    </w:p>
    <w:p w14:paraId="01EF6ED8" w14:textId="11B52094" w:rsidR="00A168CB" w:rsidRPr="00D24A6B" w:rsidRDefault="00A168CB" w:rsidP="00A168CB">
      <w:pPr>
        <w:pStyle w:val="a3"/>
        <w:numPr>
          <w:ilvl w:val="0"/>
          <w:numId w:val="4"/>
        </w:numPr>
        <w:spacing w:line="480" w:lineRule="auto"/>
        <w:ind w:leftChars="0"/>
        <w:rPr>
          <w:rFonts w:ascii="Times" w:eastAsia="ＭＳ Ｐゴシック" w:hAnsi="Times"/>
        </w:rPr>
      </w:pPr>
      <w:r w:rsidRPr="00D24A6B">
        <w:rPr>
          <w:rFonts w:ascii="Times New Roman" w:eastAsia="ＭＳ 明朝" w:hAnsi="Times New Roman"/>
          <w:color w:val="000000" w:themeColor="text1"/>
        </w:rPr>
        <w:t xml:space="preserve">Tanaka K, Kitagawa Y, Hori K, Kinoshita M, Tanaka M. Evaluation of the concordance between GluN1-GluN2 heteromer live-cell-based assay and GluN1 monomer biochip kit assay on anti-NMDAR autoantibody detection. </w:t>
      </w:r>
      <w:r w:rsidRPr="008D2A6F">
        <w:rPr>
          <w:rFonts w:ascii="Times New Roman" w:eastAsia="ＭＳ 明朝" w:hAnsi="Times New Roman"/>
          <w:i/>
          <w:iCs/>
          <w:color w:val="000000" w:themeColor="text1"/>
        </w:rPr>
        <w:t>J Im</w:t>
      </w:r>
      <w:r w:rsidR="008D2A6F">
        <w:rPr>
          <w:rFonts w:ascii="Times New Roman" w:eastAsia="ＭＳ 明朝" w:hAnsi="Times New Roman"/>
          <w:i/>
          <w:iCs/>
          <w:color w:val="000000" w:themeColor="text1"/>
        </w:rPr>
        <w:t>m</w:t>
      </w:r>
      <w:r w:rsidRPr="008D2A6F">
        <w:rPr>
          <w:rFonts w:ascii="Times New Roman" w:eastAsia="ＭＳ 明朝" w:hAnsi="Times New Roman"/>
          <w:i/>
          <w:iCs/>
          <w:color w:val="000000" w:themeColor="text1"/>
        </w:rPr>
        <w:t>unol Methods</w:t>
      </w:r>
      <w:r w:rsidRPr="00D24A6B">
        <w:rPr>
          <w:rFonts w:ascii="Times New Roman" w:eastAsia="ＭＳ 明朝" w:hAnsi="Times New Roman"/>
          <w:color w:val="000000" w:themeColor="text1"/>
        </w:rPr>
        <w:t xml:space="preserve"> </w:t>
      </w:r>
      <w:r w:rsidR="008D2A6F">
        <w:rPr>
          <w:rFonts w:ascii="Times New Roman" w:eastAsia="ＭＳ 明朝" w:hAnsi="Times New Roman"/>
          <w:color w:val="000000" w:themeColor="text1"/>
        </w:rPr>
        <w:t>2021;</w:t>
      </w:r>
      <w:r w:rsidRPr="00D24A6B">
        <w:rPr>
          <w:rFonts w:ascii="Times New Roman" w:eastAsia="ＭＳ 明朝" w:hAnsi="Times New Roman"/>
          <w:color w:val="000000" w:themeColor="text1"/>
        </w:rPr>
        <w:t>499;113150</w:t>
      </w:r>
      <w:r w:rsidR="008D2A6F">
        <w:rPr>
          <w:rFonts w:ascii="Times New Roman" w:eastAsia="ＭＳ 明朝" w:hAnsi="Times New Roman"/>
          <w:color w:val="000000" w:themeColor="text1"/>
        </w:rPr>
        <w:t>.</w:t>
      </w:r>
    </w:p>
    <w:p w14:paraId="3A7568CF" w14:textId="36110AF1" w:rsidR="00B25B9A" w:rsidRPr="008D2A6F" w:rsidRDefault="00B25B9A" w:rsidP="00B25B9A">
      <w:pPr>
        <w:numPr>
          <w:ilvl w:val="0"/>
          <w:numId w:val="4"/>
        </w:numPr>
        <w:tabs>
          <w:tab w:val="clear" w:pos="480"/>
        </w:tabs>
        <w:spacing w:line="480" w:lineRule="auto"/>
        <w:ind w:left="360" w:hanging="360"/>
        <w:rPr>
          <w:rFonts w:ascii="Times" w:hAnsi="Times"/>
        </w:rPr>
      </w:pPr>
      <w:r w:rsidRPr="00D24A6B">
        <w:rPr>
          <w:rFonts w:ascii="Times New Roman" w:hAnsi="Times New Roman"/>
        </w:rPr>
        <w:t xml:space="preserve">Nakane S, Fujita K, Shibuta Y, et al. Successful treatment of stiff person syndrome with sequential use of tacrolimus. </w:t>
      </w:r>
      <w:r w:rsidRPr="00D24A6B">
        <w:rPr>
          <w:rFonts w:ascii="Times New Roman" w:hAnsi="Times New Roman"/>
          <w:i/>
          <w:iCs/>
        </w:rPr>
        <w:t>J Neurol Neurosurg Psychiatry</w:t>
      </w:r>
      <w:r w:rsidRPr="00D24A6B">
        <w:rPr>
          <w:rFonts w:ascii="Times New Roman" w:hAnsi="Times New Roman"/>
        </w:rPr>
        <w:t xml:space="preserve"> 2013;84:1177-80.</w:t>
      </w:r>
    </w:p>
    <w:p w14:paraId="46DD9D5C" w14:textId="4A2D5AD7" w:rsidR="008D2A6F" w:rsidRPr="00346EE5" w:rsidRDefault="008D2A6F" w:rsidP="00B25B9A">
      <w:pPr>
        <w:numPr>
          <w:ilvl w:val="0"/>
          <w:numId w:val="4"/>
        </w:numPr>
        <w:tabs>
          <w:tab w:val="clear" w:pos="480"/>
        </w:tabs>
        <w:spacing w:line="480" w:lineRule="auto"/>
        <w:ind w:left="360" w:hanging="360"/>
        <w:rPr>
          <w:rFonts w:ascii="Times" w:hAnsi="Times"/>
        </w:rPr>
      </w:pPr>
      <w:r w:rsidRPr="00346EE5">
        <w:rPr>
          <w:rFonts w:ascii="Times New Roman" w:hAnsi="Times New Roman"/>
        </w:rPr>
        <w:t xml:space="preserve">Nakanishi T, Kenzaka T. Stiff-person syndrome with rhabdomyolysis. </w:t>
      </w:r>
      <w:r w:rsidRPr="00346EE5">
        <w:rPr>
          <w:rFonts w:ascii="Times New Roman" w:hAnsi="Times New Roman"/>
          <w:i/>
          <w:iCs/>
        </w:rPr>
        <w:t>BMJ Case Rep</w:t>
      </w:r>
      <w:r w:rsidRPr="00346EE5">
        <w:rPr>
          <w:rFonts w:ascii="Times New Roman" w:hAnsi="Times New Roman"/>
        </w:rPr>
        <w:t xml:space="preserve"> 2021;14:e246147.</w:t>
      </w:r>
    </w:p>
    <w:p w14:paraId="49C30DA2" w14:textId="4EBD946D" w:rsidR="007D6D46" w:rsidRPr="00CD3E0A" w:rsidRDefault="007D6D46" w:rsidP="00CD3E0A">
      <w:pPr>
        <w:numPr>
          <w:ilvl w:val="0"/>
          <w:numId w:val="4"/>
        </w:numPr>
        <w:tabs>
          <w:tab w:val="clear" w:pos="480"/>
        </w:tabs>
        <w:spacing w:line="480" w:lineRule="auto"/>
        <w:ind w:left="360" w:hanging="360"/>
        <w:rPr>
          <w:rFonts w:ascii="Times" w:hAnsi="Times"/>
        </w:rPr>
      </w:pPr>
      <w:r w:rsidRPr="00CD3E0A">
        <w:rPr>
          <w:rFonts w:ascii="Times New Roman" w:hAnsi="Times New Roman"/>
        </w:rPr>
        <w:t xml:space="preserve">Maeda K, Shimizu Y, Sugihara Y, et al. A case of stiff-limb syndrome with anti-glycine receptor antibody (in Japanese with English abstract). </w:t>
      </w:r>
      <w:r w:rsidRPr="00CD3E0A">
        <w:rPr>
          <w:rFonts w:ascii="Times New Roman" w:hAnsi="Times New Roman"/>
          <w:i/>
          <w:iCs/>
        </w:rPr>
        <w:t>Rinsho Shinkeigaku</w:t>
      </w:r>
      <w:r w:rsidRPr="00CD3E0A">
        <w:rPr>
          <w:rFonts w:ascii="Times New Roman" w:hAnsi="Times New Roman"/>
        </w:rPr>
        <w:t xml:space="preserve"> 2019:59:98-101.</w:t>
      </w:r>
    </w:p>
    <w:p w14:paraId="5AEED8DD" w14:textId="53B5EC15" w:rsidR="007D6D46" w:rsidRPr="00CE3D9C" w:rsidRDefault="007D6D46" w:rsidP="007D6D46">
      <w:pPr>
        <w:numPr>
          <w:ilvl w:val="0"/>
          <w:numId w:val="4"/>
        </w:numPr>
        <w:tabs>
          <w:tab w:val="clear" w:pos="480"/>
        </w:tabs>
        <w:spacing w:line="480" w:lineRule="auto"/>
        <w:ind w:left="360" w:hanging="360"/>
        <w:rPr>
          <w:rFonts w:ascii="Times" w:hAnsi="Times"/>
        </w:rPr>
      </w:pPr>
      <w:r w:rsidRPr="00CD3E0A">
        <w:rPr>
          <w:rFonts w:ascii="Times New Roman" w:hAnsi="Times New Roman"/>
        </w:rPr>
        <w:t xml:space="preserve">Iizuka T, Leite MI, Lang B, et al. Glycine receptor antibodies are detected in progressive encephalomyelitis with rigidity and myoclonus (PERM) but not in saccadic oscillations. </w:t>
      </w:r>
      <w:r w:rsidRPr="00CD3E0A">
        <w:rPr>
          <w:rFonts w:ascii="Times New Roman" w:hAnsi="Times New Roman"/>
          <w:i/>
          <w:iCs/>
        </w:rPr>
        <w:t>J Neurol</w:t>
      </w:r>
      <w:r w:rsidRPr="00CD3E0A">
        <w:rPr>
          <w:rFonts w:ascii="Times New Roman" w:hAnsi="Times New Roman"/>
        </w:rPr>
        <w:t xml:space="preserve"> 2012</w:t>
      </w:r>
      <w:r w:rsidR="00126C7C" w:rsidRPr="00CD3E0A">
        <w:rPr>
          <w:rFonts w:ascii="Times New Roman" w:hAnsi="Times New Roman"/>
        </w:rPr>
        <w:t>;259:1566-</w:t>
      </w:r>
      <w:r w:rsidR="00CE3D9C">
        <w:rPr>
          <w:rFonts w:ascii="Times New Roman" w:hAnsi="Times New Roman"/>
        </w:rPr>
        <w:t>15</w:t>
      </w:r>
      <w:r w:rsidR="00126C7C" w:rsidRPr="00CD3E0A">
        <w:rPr>
          <w:rFonts w:ascii="Times New Roman" w:hAnsi="Times New Roman"/>
        </w:rPr>
        <w:t>73.</w:t>
      </w:r>
    </w:p>
    <w:p w14:paraId="53E6E708" w14:textId="6B7C0C0B" w:rsidR="00CE3D9C" w:rsidRPr="00346EE5" w:rsidRDefault="00CE3D9C" w:rsidP="007D6D46">
      <w:pPr>
        <w:numPr>
          <w:ilvl w:val="0"/>
          <w:numId w:val="4"/>
        </w:numPr>
        <w:tabs>
          <w:tab w:val="clear" w:pos="480"/>
        </w:tabs>
        <w:spacing w:line="480" w:lineRule="auto"/>
        <w:ind w:left="360" w:hanging="360"/>
        <w:rPr>
          <w:rFonts w:ascii="Times" w:hAnsi="Times"/>
        </w:rPr>
      </w:pPr>
      <w:r w:rsidRPr="00346EE5">
        <w:rPr>
          <w:rFonts w:ascii="Times New Roman" w:hAnsi="Times New Roman" w:hint="eastAsia"/>
        </w:rPr>
        <w:t>N</w:t>
      </w:r>
      <w:r w:rsidRPr="00346EE5">
        <w:rPr>
          <w:rFonts w:ascii="Times New Roman" w:hAnsi="Times New Roman"/>
        </w:rPr>
        <w:t xml:space="preserve">anaura H, Kataoka H, Kiriyama T, et al. Spinal segmental myoclonus in both legs associated with antibodies to glycine receptors. </w:t>
      </w:r>
      <w:r w:rsidRPr="00346EE5">
        <w:rPr>
          <w:rFonts w:ascii="Times New Roman" w:hAnsi="Times New Roman"/>
          <w:i/>
          <w:iCs/>
        </w:rPr>
        <w:t>Neurol Clin Pract</w:t>
      </w:r>
      <w:r w:rsidRPr="00346EE5">
        <w:rPr>
          <w:rFonts w:ascii="Times New Roman" w:hAnsi="Times New Roman"/>
        </w:rPr>
        <w:t xml:space="preserve"> 2019;9:176-177.</w:t>
      </w:r>
    </w:p>
    <w:sectPr w:rsidR="00CE3D9C" w:rsidRPr="00346EE5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D16E0" w14:textId="77777777" w:rsidR="00BB3AFD" w:rsidRDefault="00BB3AFD" w:rsidP="00346D06">
      <w:r>
        <w:separator/>
      </w:r>
    </w:p>
  </w:endnote>
  <w:endnote w:type="continuationSeparator" w:id="0">
    <w:p w14:paraId="4C6DBC95" w14:textId="77777777" w:rsidR="00BB3AFD" w:rsidRDefault="00BB3AFD" w:rsidP="00346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saka">
    <w:panose1 w:val="020B0600000000000000"/>
    <w:charset w:val="80"/>
    <w:family w:val="swiss"/>
    <w:pitch w:val="variable"/>
    <w:sig w:usb0="00000001" w:usb1="08070000" w:usb2="00000010" w:usb3="00000000" w:csb0="0002009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229F1" w14:textId="77777777" w:rsidR="00BB3AFD" w:rsidRDefault="00BB3AFD" w:rsidP="00346D06">
      <w:r>
        <w:separator/>
      </w:r>
    </w:p>
  </w:footnote>
  <w:footnote w:type="continuationSeparator" w:id="0">
    <w:p w14:paraId="0A7B301E" w14:textId="77777777" w:rsidR="00BB3AFD" w:rsidRDefault="00BB3AFD" w:rsidP="00346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377BC"/>
    <w:multiLevelType w:val="hybridMultilevel"/>
    <w:tmpl w:val="E1284388"/>
    <w:lvl w:ilvl="0" w:tplc="2DFEE23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02C645D"/>
    <w:multiLevelType w:val="hybridMultilevel"/>
    <w:tmpl w:val="FFFFFFFF"/>
    <w:lvl w:ilvl="0" w:tplc="079EA23A">
      <w:start w:val="1"/>
      <w:numFmt w:val="upp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4060142"/>
    <w:multiLevelType w:val="hybridMultilevel"/>
    <w:tmpl w:val="6742E686"/>
    <w:lvl w:ilvl="0" w:tplc="D53C153E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F23F2B"/>
    <w:multiLevelType w:val="hybridMultilevel"/>
    <w:tmpl w:val="FFFFFFFF"/>
    <w:lvl w:ilvl="0" w:tplc="BB762490">
      <w:start w:val="1"/>
      <w:numFmt w:val="upp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A9D65C9"/>
    <w:multiLevelType w:val="hybridMultilevel"/>
    <w:tmpl w:val="FFFFFFFF"/>
    <w:lvl w:ilvl="0" w:tplc="57BE7E4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234896213">
    <w:abstractNumId w:val="1"/>
  </w:num>
  <w:num w:numId="2" w16cid:durableId="1184590049">
    <w:abstractNumId w:val="3"/>
  </w:num>
  <w:num w:numId="3" w16cid:durableId="1117675426">
    <w:abstractNumId w:val="4"/>
  </w:num>
  <w:num w:numId="4" w16cid:durableId="359666821">
    <w:abstractNumId w:val="0"/>
  </w:num>
  <w:num w:numId="5" w16cid:durableId="6787036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FA2"/>
    <w:rsid w:val="00020228"/>
    <w:rsid w:val="00034996"/>
    <w:rsid w:val="00046D17"/>
    <w:rsid w:val="00082995"/>
    <w:rsid w:val="00085619"/>
    <w:rsid w:val="000A419E"/>
    <w:rsid w:val="000B3FFB"/>
    <w:rsid w:val="000B48A8"/>
    <w:rsid w:val="000C0700"/>
    <w:rsid w:val="000C3397"/>
    <w:rsid w:val="000D2ED0"/>
    <w:rsid w:val="000D7994"/>
    <w:rsid w:val="00117282"/>
    <w:rsid w:val="00126C7C"/>
    <w:rsid w:val="00132B8D"/>
    <w:rsid w:val="00154D55"/>
    <w:rsid w:val="001573B3"/>
    <w:rsid w:val="00157C22"/>
    <w:rsid w:val="00194468"/>
    <w:rsid w:val="00195267"/>
    <w:rsid w:val="001B0DD1"/>
    <w:rsid w:val="001B7753"/>
    <w:rsid w:val="001C35A5"/>
    <w:rsid w:val="001F19E1"/>
    <w:rsid w:val="002002E7"/>
    <w:rsid w:val="00207429"/>
    <w:rsid w:val="00231EAC"/>
    <w:rsid w:val="00235FB6"/>
    <w:rsid w:val="002459B0"/>
    <w:rsid w:val="00251699"/>
    <w:rsid w:val="002533D9"/>
    <w:rsid w:val="00257458"/>
    <w:rsid w:val="002601F8"/>
    <w:rsid w:val="00272C9F"/>
    <w:rsid w:val="002776C2"/>
    <w:rsid w:val="00284E15"/>
    <w:rsid w:val="002A5222"/>
    <w:rsid w:val="002B5BE7"/>
    <w:rsid w:val="002D4CB5"/>
    <w:rsid w:val="002E01FD"/>
    <w:rsid w:val="002E7057"/>
    <w:rsid w:val="003001B6"/>
    <w:rsid w:val="00304260"/>
    <w:rsid w:val="003170F7"/>
    <w:rsid w:val="00320713"/>
    <w:rsid w:val="0032124C"/>
    <w:rsid w:val="0033286C"/>
    <w:rsid w:val="00332D70"/>
    <w:rsid w:val="00333154"/>
    <w:rsid w:val="00346D06"/>
    <w:rsid w:val="00346EE5"/>
    <w:rsid w:val="00356487"/>
    <w:rsid w:val="00357BF8"/>
    <w:rsid w:val="0036457D"/>
    <w:rsid w:val="003B2DD9"/>
    <w:rsid w:val="003C223C"/>
    <w:rsid w:val="003D0BA7"/>
    <w:rsid w:val="003D5829"/>
    <w:rsid w:val="003F5615"/>
    <w:rsid w:val="00420487"/>
    <w:rsid w:val="004377D2"/>
    <w:rsid w:val="00454D98"/>
    <w:rsid w:val="00457770"/>
    <w:rsid w:val="00467216"/>
    <w:rsid w:val="00492986"/>
    <w:rsid w:val="00493F4A"/>
    <w:rsid w:val="004B2808"/>
    <w:rsid w:val="004B488F"/>
    <w:rsid w:val="004B5FA2"/>
    <w:rsid w:val="004D4716"/>
    <w:rsid w:val="004E536D"/>
    <w:rsid w:val="004E74C2"/>
    <w:rsid w:val="00504AC8"/>
    <w:rsid w:val="00516166"/>
    <w:rsid w:val="00523C66"/>
    <w:rsid w:val="00563692"/>
    <w:rsid w:val="005732E9"/>
    <w:rsid w:val="00584592"/>
    <w:rsid w:val="005901B4"/>
    <w:rsid w:val="0059430B"/>
    <w:rsid w:val="005A7190"/>
    <w:rsid w:val="005B1B20"/>
    <w:rsid w:val="005B4073"/>
    <w:rsid w:val="005C654A"/>
    <w:rsid w:val="005E35A3"/>
    <w:rsid w:val="005E3DA9"/>
    <w:rsid w:val="005F5599"/>
    <w:rsid w:val="0060027D"/>
    <w:rsid w:val="006025F4"/>
    <w:rsid w:val="00603EDC"/>
    <w:rsid w:val="00611FB5"/>
    <w:rsid w:val="006142F9"/>
    <w:rsid w:val="00616E3E"/>
    <w:rsid w:val="00624823"/>
    <w:rsid w:val="006250CA"/>
    <w:rsid w:val="006261EE"/>
    <w:rsid w:val="00640802"/>
    <w:rsid w:val="00644D3B"/>
    <w:rsid w:val="006460E4"/>
    <w:rsid w:val="006527A8"/>
    <w:rsid w:val="00655CD4"/>
    <w:rsid w:val="00661654"/>
    <w:rsid w:val="006A5BD8"/>
    <w:rsid w:val="006A5D5E"/>
    <w:rsid w:val="006C333E"/>
    <w:rsid w:val="006C64D8"/>
    <w:rsid w:val="006D551D"/>
    <w:rsid w:val="006E708D"/>
    <w:rsid w:val="006F0520"/>
    <w:rsid w:val="006F6919"/>
    <w:rsid w:val="00711701"/>
    <w:rsid w:val="00714464"/>
    <w:rsid w:val="00715B11"/>
    <w:rsid w:val="00716AA9"/>
    <w:rsid w:val="00731CDF"/>
    <w:rsid w:val="00732A7F"/>
    <w:rsid w:val="00761CB0"/>
    <w:rsid w:val="007C413B"/>
    <w:rsid w:val="007D6D46"/>
    <w:rsid w:val="007E3A25"/>
    <w:rsid w:val="0081215B"/>
    <w:rsid w:val="008145E1"/>
    <w:rsid w:val="00825012"/>
    <w:rsid w:val="008261EC"/>
    <w:rsid w:val="00830AB3"/>
    <w:rsid w:val="00840CA3"/>
    <w:rsid w:val="00842449"/>
    <w:rsid w:val="00857B2D"/>
    <w:rsid w:val="00863CF0"/>
    <w:rsid w:val="00866DD2"/>
    <w:rsid w:val="00876D04"/>
    <w:rsid w:val="0089316B"/>
    <w:rsid w:val="00894076"/>
    <w:rsid w:val="00895F3D"/>
    <w:rsid w:val="00895F95"/>
    <w:rsid w:val="008B2704"/>
    <w:rsid w:val="008B5853"/>
    <w:rsid w:val="008C273D"/>
    <w:rsid w:val="008D2A6F"/>
    <w:rsid w:val="008D2E70"/>
    <w:rsid w:val="008E08B2"/>
    <w:rsid w:val="008E20B6"/>
    <w:rsid w:val="00932113"/>
    <w:rsid w:val="009330CE"/>
    <w:rsid w:val="00934719"/>
    <w:rsid w:val="009437F6"/>
    <w:rsid w:val="00944FBB"/>
    <w:rsid w:val="00945702"/>
    <w:rsid w:val="00947129"/>
    <w:rsid w:val="00953EB1"/>
    <w:rsid w:val="00964FE6"/>
    <w:rsid w:val="009721AD"/>
    <w:rsid w:val="00975A8F"/>
    <w:rsid w:val="00983400"/>
    <w:rsid w:val="00991960"/>
    <w:rsid w:val="00993006"/>
    <w:rsid w:val="009D1BEA"/>
    <w:rsid w:val="009E18BC"/>
    <w:rsid w:val="009F0E07"/>
    <w:rsid w:val="009F4265"/>
    <w:rsid w:val="009F65C8"/>
    <w:rsid w:val="00A0148F"/>
    <w:rsid w:val="00A054FB"/>
    <w:rsid w:val="00A11E03"/>
    <w:rsid w:val="00A168CB"/>
    <w:rsid w:val="00A16DE4"/>
    <w:rsid w:val="00A21940"/>
    <w:rsid w:val="00A30441"/>
    <w:rsid w:val="00A5595D"/>
    <w:rsid w:val="00A5675B"/>
    <w:rsid w:val="00A63C6A"/>
    <w:rsid w:val="00A71312"/>
    <w:rsid w:val="00A73679"/>
    <w:rsid w:val="00A97A92"/>
    <w:rsid w:val="00AB2B95"/>
    <w:rsid w:val="00AB530B"/>
    <w:rsid w:val="00AC71E4"/>
    <w:rsid w:val="00AD639E"/>
    <w:rsid w:val="00AE67AB"/>
    <w:rsid w:val="00AE7FB1"/>
    <w:rsid w:val="00AF56F4"/>
    <w:rsid w:val="00B15C02"/>
    <w:rsid w:val="00B235BF"/>
    <w:rsid w:val="00B25B9A"/>
    <w:rsid w:val="00B26E49"/>
    <w:rsid w:val="00B345A2"/>
    <w:rsid w:val="00B37951"/>
    <w:rsid w:val="00B4204B"/>
    <w:rsid w:val="00B75EF2"/>
    <w:rsid w:val="00B81C9F"/>
    <w:rsid w:val="00B829C6"/>
    <w:rsid w:val="00B9449A"/>
    <w:rsid w:val="00BA4210"/>
    <w:rsid w:val="00BB3700"/>
    <w:rsid w:val="00BB3AFD"/>
    <w:rsid w:val="00BB4290"/>
    <w:rsid w:val="00BB6BEA"/>
    <w:rsid w:val="00BD0958"/>
    <w:rsid w:val="00BD718B"/>
    <w:rsid w:val="00BE08C7"/>
    <w:rsid w:val="00C13D91"/>
    <w:rsid w:val="00C23854"/>
    <w:rsid w:val="00C23DAD"/>
    <w:rsid w:val="00C25E8D"/>
    <w:rsid w:val="00C62A44"/>
    <w:rsid w:val="00C65D7C"/>
    <w:rsid w:val="00C735F9"/>
    <w:rsid w:val="00CA68AD"/>
    <w:rsid w:val="00CB2A16"/>
    <w:rsid w:val="00CB7D1D"/>
    <w:rsid w:val="00CD3E0A"/>
    <w:rsid w:val="00CE3971"/>
    <w:rsid w:val="00CE3D9C"/>
    <w:rsid w:val="00CF103B"/>
    <w:rsid w:val="00CF1BCA"/>
    <w:rsid w:val="00D112D2"/>
    <w:rsid w:val="00D233F5"/>
    <w:rsid w:val="00D237A7"/>
    <w:rsid w:val="00D24A6B"/>
    <w:rsid w:val="00D5130C"/>
    <w:rsid w:val="00D51B86"/>
    <w:rsid w:val="00D5245C"/>
    <w:rsid w:val="00D532FA"/>
    <w:rsid w:val="00D61BED"/>
    <w:rsid w:val="00D67F1B"/>
    <w:rsid w:val="00DA17C5"/>
    <w:rsid w:val="00DA46B3"/>
    <w:rsid w:val="00DA5058"/>
    <w:rsid w:val="00DA7B71"/>
    <w:rsid w:val="00DC3A42"/>
    <w:rsid w:val="00DD055E"/>
    <w:rsid w:val="00DD762E"/>
    <w:rsid w:val="00DD7946"/>
    <w:rsid w:val="00DE2B68"/>
    <w:rsid w:val="00DE3E17"/>
    <w:rsid w:val="00DF0233"/>
    <w:rsid w:val="00E0412B"/>
    <w:rsid w:val="00E25EDD"/>
    <w:rsid w:val="00E51290"/>
    <w:rsid w:val="00E52741"/>
    <w:rsid w:val="00E737CD"/>
    <w:rsid w:val="00E97938"/>
    <w:rsid w:val="00EB65B8"/>
    <w:rsid w:val="00EC0B79"/>
    <w:rsid w:val="00EC257A"/>
    <w:rsid w:val="00EE02F1"/>
    <w:rsid w:val="00EE3585"/>
    <w:rsid w:val="00F17BF0"/>
    <w:rsid w:val="00F335A6"/>
    <w:rsid w:val="00F43A2D"/>
    <w:rsid w:val="00F57B48"/>
    <w:rsid w:val="00F60646"/>
    <w:rsid w:val="00F60EFC"/>
    <w:rsid w:val="00F74A47"/>
    <w:rsid w:val="00F87CCF"/>
    <w:rsid w:val="00FB0D67"/>
    <w:rsid w:val="00FD0DDE"/>
    <w:rsid w:val="00FD3DE3"/>
    <w:rsid w:val="00FD44A5"/>
    <w:rsid w:val="00FE732B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FBE3B9"/>
  <w14:defaultImageDpi w14:val="0"/>
  <w15:docId w15:val="{57B23617-40D9-4174-9258-C202FFE7C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006"/>
    <w:pPr>
      <w:widowControl w:val="0"/>
      <w:jc w:val="both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E732B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BA7"/>
    <w:pPr>
      <w:ind w:leftChars="400" w:left="840"/>
    </w:pPr>
  </w:style>
  <w:style w:type="character" w:styleId="a4">
    <w:name w:val="Placeholder Text"/>
    <w:basedOn w:val="a0"/>
    <w:uiPriority w:val="99"/>
    <w:semiHidden/>
    <w:rsid w:val="00F87CCF"/>
    <w:rPr>
      <w:rFonts w:cs="Times New Roman"/>
      <w:color w:val="808080"/>
    </w:rPr>
  </w:style>
  <w:style w:type="character" w:styleId="a5">
    <w:name w:val="annotation reference"/>
    <w:basedOn w:val="a0"/>
    <w:uiPriority w:val="99"/>
    <w:semiHidden/>
    <w:unhideWhenUsed/>
    <w:rsid w:val="009721AD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9721AD"/>
    <w:rPr>
      <w:sz w:val="20"/>
      <w:szCs w:val="20"/>
    </w:rPr>
  </w:style>
  <w:style w:type="character" w:customStyle="1" w:styleId="a7">
    <w:name w:val="コメント文字列 (文字)"/>
    <w:basedOn w:val="a0"/>
    <w:link w:val="a6"/>
    <w:uiPriority w:val="99"/>
    <w:locked/>
    <w:rsid w:val="009721AD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721AD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locked/>
    <w:rsid w:val="009721AD"/>
    <w:rPr>
      <w:rFonts w:cs="Times New Roman"/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346D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346D06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46D0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346D06"/>
    <w:rPr>
      <w:rFonts w:cs="Times New Roman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FE732B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FE73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e">
    <w:name w:val="Revision"/>
    <w:hidden/>
    <w:uiPriority w:val="99"/>
    <w:semiHidden/>
    <w:rsid w:val="009330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01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尚子 松井</dc:creator>
  <cp:keywords/>
  <dc:description/>
  <cp:lastModifiedBy>尚子 松井</cp:lastModifiedBy>
  <cp:revision>7</cp:revision>
  <cp:lastPrinted>2022-10-09T14:41:00Z</cp:lastPrinted>
  <dcterms:created xsi:type="dcterms:W3CDTF">2023-06-27T06:28:00Z</dcterms:created>
  <dcterms:modified xsi:type="dcterms:W3CDTF">2023-07-03T19:20:00Z</dcterms:modified>
</cp:coreProperties>
</file>