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20" w:rsidRPr="0095238A" w:rsidRDefault="00A65620" w:rsidP="00A65620">
      <w:pPr>
        <w:spacing w:line="480" w:lineRule="auto"/>
        <w:rPr>
          <w:sz w:val="24"/>
          <w:szCs w:val="24"/>
        </w:rPr>
      </w:pPr>
      <w:r w:rsidRPr="0095238A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e-</w:t>
      </w:r>
      <w:r w:rsidRPr="0095238A">
        <w:rPr>
          <w:b/>
          <w:sz w:val="24"/>
          <w:szCs w:val="24"/>
        </w:rPr>
        <w:t xml:space="preserve">1. </w:t>
      </w:r>
      <w:r w:rsidRPr="0095238A">
        <w:rPr>
          <w:sz w:val="24"/>
          <w:szCs w:val="24"/>
        </w:rPr>
        <w:t>Baseline demographic and clinical characteristics</w:t>
      </w:r>
      <w:bookmarkStart w:id="0" w:name="_GoBack"/>
      <w:bookmarkEnd w:id="0"/>
    </w:p>
    <w:tbl>
      <w:tblPr>
        <w:tblStyle w:val="TableGrid"/>
        <w:tblW w:w="742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3440"/>
        <w:gridCol w:w="3440"/>
        <w:gridCol w:w="6880"/>
      </w:tblGrid>
      <w:tr w:rsidR="00A65620" w:rsidRPr="0095238A" w:rsidTr="00145E28">
        <w:trPr>
          <w:gridAfter w:val="1"/>
          <w:wAfter w:w="1634" w:type="pct"/>
          <w:trHeight w:val="1365"/>
        </w:trPr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5238A">
              <w:rPr>
                <w:b/>
                <w:color w:val="000000"/>
                <w:sz w:val="24"/>
                <w:szCs w:val="24"/>
              </w:rPr>
              <w:t>Effectiveness analysis</w:t>
            </w:r>
          </w:p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5238A">
              <w:rPr>
                <w:b/>
                <w:color w:val="000000"/>
                <w:sz w:val="24"/>
                <w:szCs w:val="24"/>
              </w:rPr>
              <w:t>(N</w:t>
            </w:r>
            <w:r w:rsidRPr="0095238A">
              <w:rPr>
                <w:b/>
                <w:sz w:val="24"/>
                <w:szCs w:val="24"/>
              </w:rPr>
              <w:t xml:space="preserve"> = 3,315)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Safety</w:t>
            </w:r>
          </w:p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analysis</w:t>
            </w:r>
          </w:p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(N = 4,188)</w:t>
            </w:r>
          </w:p>
        </w:tc>
      </w:tr>
      <w:tr w:rsidR="00A65620" w:rsidRPr="0095238A" w:rsidTr="00145E28">
        <w:trPr>
          <w:gridAfter w:val="1"/>
          <w:wAfter w:w="1634" w:type="pct"/>
        </w:trPr>
        <w:tc>
          <w:tcPr>
            <w:tcW w:w="173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Age, years</w:t>
            </w:r>
          </w:p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Mean (SD)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65620" w:rsidRPr="0095238A" w:rsidTr="00145E28">
        <w:trPr>
          <w:gridAfter w:val="1"/>
          <w:wAfter w:w="1634" w:type="pct"/>
        </w:trPr>
        <w:tc>
          <w:tcPr>
            <w:tcW w:w="173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39.2 (10.1)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39.4 (10.0)</w:t>
            </w:r>
          </w:p>
        </w:tc>
      </w:tr>
      <w:tr w:rsidR="00A65620" w:rsidRPr="0095238A" w:rsidTr="00145E28">
        <w:trPr>
          <w:gridAfter w:val="1"/>
          <w:wAfter w:w="1634" w:type="pct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 xml:space="preserve">Median 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39.5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39.9</w:t>
            </w:r>
          </w:p>
        </w:tc>
      </w:tr>
      <w:tr w:rsidR="00A65620" w:rsidRPr="0095238A" w:rsidTr="00145E28">
        <w:trPr>
          <w:gridAfter w:val="1"/>
          <w:wAfter w:w="1634" w:type="pct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Female, n (%)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2,351 (70.9)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2,992 (71.4)</w:t>
            </w:r>
          </w:p>
        </w:tc>
      </w:tr>
      <w:tr w:rsidR="00A65620" w:rsidRPr="0095238A" w:rsidTr="00145E28">
        <w:trPr>
          <w:gridAfter w:val="1"/>
          <w:wAfter w:w="1634" w:type="pct"/>
          <w:trHeight w:val="421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 xml:space="preserve">Duration of </w:t>
            </w:r>
            <w:proofErr w:type="spellStart"/>
            <w:proofErr w:type="gramStart"/>
            <w:r w:rsidRPr="0095238A">
              <w:rPr>
                <w:b/>
                <w:sz w:val="24"/>
                <w:szCs w:val="24"/>
              </w:rPr>
              <w:t>MS,</w:t>
            </w:r>
            <w:r w:rsidRPr="0095238A">
              <w:rPr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95238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5238A">
              <w:rPr>
                <w:b/>
                <w:sz w:val="24"/>
                <w:szCs w:val="24"/>
              </w:rPr>
              <w:t>years, mean (SD)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8.4 (6.6)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8.4 (6.5)</w:t>
            </w:r>
          </w:p>
        </w:tc>
      </w:tr>
      <w:tr w:rsidR="00A65620" w:rsidRPr="0095238A" w:rsidTr="00145E2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rPr>
                <w:b/>
                <w:sz w:val="24"/>
                <w:szCs w:val="24"/>
              </w:rPr>
            </w:pPr>
            <w:r w:rsidRPr="0095238A">
              <w:rPr>
                <w:b/>
                <w:sz w:val="24"/>
                <w:szCs w:val="24"/>
              </w:rPr>
              <w:t>Previous MS DMTs, n (%)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widowControl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65620" w:rsidRPr="0095238A" w:rsidTr="00145E28">
        <w:trPr>
          <w:gridAfter w:val="1"/>
          <w:wAfter w:w="1634" w:type="pct"/>
          <w:trHeight w:val="37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No previous DMT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176 (5.3)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255 (6.1)</w:t>
            </w:r>
          </w:p>
        </w:tc>
      </w:tr>
      <w:tr w:rsidR="00A65620" w:rsidRPr="0095238A" w:rsidTr="00145E28">
        <w:trPr>
          <w:gridAfter w:val="1"/>
          <w:wAfter w:w="1634" w:type="pct"/>
          <w:trHeight w:val="37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Interferons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1,578 (47.6)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2,011 (48.0)</w:t>
            </w:r>
          </w:p>
        </w:tc>
      </w:tr>
      <w:tr w:rsidR="00A65620" w:rsidRPr="0095238A" w:rsidTr="00145E28">
        <w:trPr>
          <w:gridAfter w:val="1"/>
          <w:wAfter w:w="1634" w:type="pct"/>
          <w:trHeight w:val="375"/>
        </w:trPr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Glatiramer acetate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779 (23.5)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962 (23.0)</w:t>
            </w:r>
          </w:p>
        </w:tc>
      </w:tr>
      <w:tr w:rsidR="00A65620" w:rsidRPr="0095238A" w:rsidTr="00145E28">
        <w:trPr>
          <w:gridAfter w:val="1"/>
          <w:wAfter w:w="1634" w:type="pct"/>
          <w:trHeight w:val="375"/>
        </w:trPr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ind w:firstLine="426"/>
              <w:contextualSpacing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Natalizumab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617 (18.6)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620" w:rsidRPr="0095238A" w:rsidRDefault="00A65620" w:rsidP="00145E28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95238A">
              <w:rPr>
                <w:sz w:val="24"/>
                <w:szCs w:val="24"/>
              </w:rPr>
              <w:t>754 (18.0)</w:t>
            </w:r>
          </w:p>
        </w:tc>
      </w:tr>
    </w:tbl>
    <w:p w:rsidR="00A65620" w:rsidRPr="0095238A" w:rsidRDefault="00A65620" w:rsidP="00A65620">
      <w:pPr>
        <w:spacing w:line="480" w:lineRule="auto"/>
        <w:rPr>
          <w:sz w:val="24"/>
          <w:szCs w:val="24"/>
        </w:rPr>
      </w:pPr>
      <w:r w:rsidRPr="0095238A">
        <w:rPr>
          <w:sz w:val="24"/>
          <w:szCs w:val="24"/>
        </w:rPr>
        <w:t xml:space="preserve">Abbreviations: DMT = disease-modifying therapy; MS = multiple sclerosis; N (n) = number of patients; SD = standard deviation. </w:t>
      </w:r>
    </w:p>
    <w:p w:rsidR="00A65620" w:rsidRPr="0095238A" w:rsidRDefault="00A65620" w:rsidP="00A65620">
      <w:pPr>
        <w:spacing w:line="480" w:lineRule="auto"/>
        <w:rPr>
          <w:sz w:val="24"/>
          <w:szCs w:val="24"/>
        </w:rPr>
      </w:pPr>
      <w:proofErr w:type="spellStart"/>
      <w:r w:rsidRPr="0095238A">
        <w:rPr>
          <w:sz w:val="24"/>
          <w:szCs w:val="24"/>
          <w:vertAlign w:val="superscript"/>
        </w:rPr>
        <w:t>a</w:t>
      </w:r>
      <w:r w:rsidRPr="0095238A">
        <w:rPr>
          <w:sz w:val="24"/>
          <w:szCs w:val="24"/>
        </w:rPr>
        <w:t>Duration</w:t>
      </w:r>
      <w:proofErr w:type="spellEnd"/>
      <w:r w:rsidRPr="0095238A">
        <w:rPr>
          <w:sz w:val="24"/>
          <w:szCs w:val="24"/>
        </w:rPr>
        <w:t xml:space="preserve"> of MS since diagnosis.</w:t>
      </w:r>
    </w:p>
    <w:p w:rsidR="00A65620" w:rsidRDefault="00A65620" w:rsidP="00A65620">
      <w:pPr>
        <w:spacing w:line="480" w:lineRule="auto"/>
        <w:rPr>
          <w:bCs/>
          <w:spacing w:val="2"/>
          <w:sz w:val="24"/>
          <w:szCs w:val="24"/>
          <w:lang w:val="en"/>
        </w:rPr>
      </w:pPr>
      <w:r w:rsidRPr="0095238A">
        <w:rPr>
          <w:sz w:val="24"/>
          <w:szCs w:val="24"/>
        </w:rPr>
        <w:lastRenderedPageBreak/>
        <w:t xml:space="preserve">Data for the effectiveness analysis taken from </w:t>
      </w:r>
      <w:r w:rsidRPr="0095238A">
        <w:rPr>
          <w:spacing w:val="4"/>
          <w:sz w:val="24"/>
          <w:szCs w:val="24"/>
          <w:shd w:val="clear" w:color="auto" w:fill="FCFCFC"/>
        </w:rPr>
        <w:t xml:space="preserve">Ziemssen T, Lang M, Tackenberg B et al. </w:t>
      </w:r>
      <w:r w:rsidRPr="0095238A">
        <w:rPr>
          <w:bCs/>
          <w:spacing w:val="2"/>
          <w:sz w:val="24"/>
          <w:szCs w:val="24"/>
          <w:lang w:val="en"/>
        </w:rPr>
        <w:t xml:space="preserve">Clinical and demographic profile of patients receiving fingolimod in clinical practice in Germany and the benefit–risk profile of fingolimod after 1 year of treatment: initial results from the observational, noninterventional study PANGAEA. </w:t>
      </w:r>
      <w:r w:rsidRPr="0095238A">
        <w:rPr>
          <w:sz w:val="24"/>
          <w:szCs w:val="24"/>
        </w:rPr>
        <w:t xml:space="preserve">Neurotherapeutics </w:t>
      </w:r>
      <w:proofErr w:type="gramStart"/>
      <w:r w:rsidRPr="0095238A">
        <w:rPr>
          <w:sz w:val="24"/>
          <w:szCs w:val="24"/>
        </w:rPr>
        <w:t>2018;15:</w:t>
      </w:r>
      <w:r w:rsidRPr="0095238A">
        <w:rPr>
          <w:bCs/>
          <w:spacing w:val="2"/>
          <w:sz w:val="24"/>
          <w:szCs w:val="24"/>
          <w:lang w:val="en"/>
        </w:rPr>
        <w:t>190</w:t>
      </w:r>
      <w:proofErr w:type="gramEnd"/>
      <w:r w:rsidRPr="0095238A">
        <w:rPr>
          <w:bCs/>
          <w:spacing w:val="2"/>
          <w:sz w:val="24"/>
          <w:szCs w:val="24"/>
          <w:lang w:val="en"/>
        </w:rPr>
        <w:t>–199, with the permission of the copyright holders (authors).</w:t>
      </w:r>
    </w:p>
    <w:p w:rsidR="00B71C0B" w:rsidRDefault="00B71C0B"/>
    <w:sectPr w:rsidR="00B71C0B" w:rsidSect="00A65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0"/>
    <w:rsid w:val="00265DAB"/>
    <w:rsid w:val="0039431B"/>
    <w:rsid w:val="005420AC"/>
    <w:rsid w:val="005F5AE4"/>
    <w:rsid w:val="00A65620"/>
    <w:rsid w:val="00B71C0B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1E8A9-B7A6-469C-9C8D-83498D9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20"/>
    <w:pPr>
      <w:widowControl w:val="0"/>
      <w:spacing w:after="0" w:line="36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Findlay</dc:creator>
  <cp:keywords/>
  <dc:description/>
  <cp:lastModifiedBy>John Findlay</cp:lastModifiedBy>
  <cp:revision>1</cp:revision>
  <dcterms:created xsi:type="dcterms:W3CDTF">2018-07-27T09:31:00Z</dcterms:created>
  <dcterms:modified xsi:type="dcterms:W3CDTF">2018-07-27T09:32:00Z</dcterms:modified>
</cp:coreProperties>
</file>