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5FBC" w14:textId="77777777" w:rsidR="00F359D1" w:rsidRDefault="00E4344B" w:rsidP="00E4344B">
      <w:pPr>
        <w:pStyle w:val="EndNoteBibliographyTitle"/>
        <w:rPr>
          <w:noProof/>
        </w:rPr>
      </w:pPr>
      <w:bookmarkStart w:id="0" w:name="_GoBack"/>
      <w:bookmarkEnd w:id="0"/>
      <w:r>
        <w:rPr>
          <w:noProof/>
        </w:rPr>
        <w:t xml:space="preserve">Supplementary </w:t>
      </w:r>
      <w:r w:rsidR="00F359D1" w:rsidRPr="004D2DFB">
        <w:rPr>
          <w:rFonts w:hint="eastAsia"/>
          <w:noProof/>
        </w:rPr>
        <w:t>References</w:t>
      </w:r>
    </w:p>
    <w:p w14:paraId="76688A55" w14:textId="77777777" w:rsidR="00E4344B" w:rsidRPr="004D2DFB" w:rsidRDefault="00E4344B" w:rsidP="00E4344B">
      <w:pPr>
        <w:pStyle w:val="EndNoteBibliographyTitle"/>
        <w:rPr>
          <w:noProof/>
        </w:rPr>
      </w:pPr>
    </w:p>
    <w:p w14:paraId="5FAAAEC1" w14:textId="06058B3E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31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Fingerhuth SM, Bonhoeffer S, Low N, Althaus CL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Antibiotic-resistant Neisseria gonorrhoeae spread faster with more treatment, not more sexual partners. PLoS Pathog. 2016;12(5):e1005611.</w:t>
      </w:r>
    </w:p>
    <w:p w14:paraId="31FF0445" w14:textId="3DC74902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32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Tuite AR, Gift TL, Chesson HW, Hsu K, Salomon JA, Grad YH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Impact of rapid susceptibility testing and antibiotic selection strategy on the emergence and spread of antibiotic resistance in gonorrhea. J Infect Dis. 2017.</w:t>
      </w:r>
    </w:p>
    <w:p w14:paraId="1F53A2F6" w14:textId="5C4D5C90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33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Purcell DW, Johnson CH, Lansky A, et al.</w:t>
      </w:r>
      <w:r w:rsidRPr="004D2DFB">
        <w:rPr>
          <w:b/>
          <w:noProof/>
        </w:rPr>
        <w:t xml:space="preserve"> </w:t>
      </w:r>
      <w:r w:rsidRPr="004D2DFB">
        <w:rPr>
          <w:noProof/>
        </w:rPr>
        <w:t>Estimating the population size of men who have sex with men in the United States to obtain HIV and syphilis rates. Open AIDS journal. 2012;6:98-107.</w:t>
      </w:r>
    </w:p>
    <w:p w14:paraId="669F6D50" w14:textId="599634D5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34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Grov C, Cain D, Rendina HJ, Ventuneac A, Parsons JT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Characteristics associated with urethral and rectal gonorrhea and chlamydia diagnoses in a US national sample of gay and bisexual men: results from the One Thousand Strong panel. Sex Transm Dis. 2016;43(3):165-71.</w:t>
      </w:r>
    </w:p>
    <w:p w14:paraId="0D318DE0" w14:textId="4D3D64B7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35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Hooper RR, Reynolds GH, Jones OG, et al.</w:t>
      </w:r>
      <w:r w:rsidRPr="004D2DFB">
        <w:rPr>
          <w:b/>
          <w:noProof/>
        </w:rPr>
        <w:t xml:space="preserve"> </w:t>
      </w:r>
      <w:r w:rsidRPr="004D2DFB">
        <w:rPr>
          <w:noProof/>
        </w:rPr>
        <w:t>Cohort study of venereal disease. I: the risk of gonorrhea transmission from infected women to men. Am J Epidemiol. 1978;108(2):136-44.</w:t>
      </w:r>
    </w:p>
    <w:p w14:paraId="411C8EDC" w14:textId="0993C0AE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36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Wiesner PJ, Thompson SE, 3rd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Gonococcal diseases. Dis Mon. 1980;26(5):1-44.</w:t>
      </w:r>
    </w:p>
    <w:p w14:paraId="7FA16882" w14:textId="042ADFF2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37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Holmes KK, Johnson DW, Trostle HJ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An estimate of the risk of men acquiring gonorrhea by sexual contact with infected females. Am J Epidemiol. 1970;91(2):170-4.</w:t>
      </w:r>
    </w:p>
    <w:p w14:paraId="6E333437" w14:textId="609721D6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lastRenderedPageBreak/>
        <w:t>38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Platt R, Rice PA, McCormack WM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Risk of acquiring gonorrhea and prevalence of abnormal adnexal findings among women recently exposed to gonorrhea. JAMA. 1983;250(23):3205-9.</w:t>
      </w:r>
    </w:p>
    <w:p w14:paraId="3D671EE3" w14:textId="5CB694AB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39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Sexually transmitted diseases. 4th ed. ed. New York: McGraw-Hill, Medical; 2008.</w:t>
      </w:r>
    </w:p>
    <w:p w14:paraId="3818BC83" w14:textId="47E5F406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40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Kretzschmar M, van Duynhoven YT, Severijnen AJ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Modeling prevention strategies for gonorrhea and chlamydia using stochastic network simulations. Am J  Epidemiol. 1996;144(3):306-17.</w:t>
      </w:r>
    </w:p>
    <w:p w14:paraId="2804C376" w14:textId="4A6397A9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41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Korenromp EL, Sudaryo MK, de Vlas SJ, et al.</w:t>
      </w:r>
      <w:r w:rsidRPr="004D2DFB">
        <w:rPr>
          <w:b/>
          <w:noProof/>
        </w:rPr>
        <w:t xml:space="preserve"> </w:t>
      </w:r>
      <w:r w:rsidRPr="004D2DFB">
        <w:rPr>
          <w:noProof/>
        </w:rPr>
        <w:t>What proportion of episodes of gonorrhoea and chlamydia becomes symptomatic? Int J STD AIDS. 2002;13(2):91-101.</w:t>
      </w:r>
    </w:p>
    <w:p w14:paraId="59CB3F7C" w14:textId="5DA432F7" w:rsidR="00F359D1" w:rsidRPr="004D2DFB" w:rsidRDefault="00F359D1" w:rsidP="004D2DFB">
      <w:pPr>
        <w:pStyle w:val="EndNoteBibliography"/>
        <w:ind w:left="720" w:hanging="720"/>
        <w:rPr>
          <w:noProof/>
        </w:rPr>
      </w:pPr>
      <w:r w:rsidRPr="004D2DFB">
        <w:rPr>
          <w:noProof/>
        </w:rPr>
        <w:t>42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Johnson LF, Alkema L, Dorrington RE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A Bayesian approach to uncertainty analysis of sexually transmitted infection models. Sex Transm Infect. 2010;86(3):169-74.</w:t>
      </w:r>
    </w:p>
    <w:p w14:paraId="654F6C09" w14:textId="6B5AA704" w:rsidR="00F11E49" w:rsidRDefault="00F359D1" w:rsidP="00E4344B">
      <w:pPr>
        <w:pStyle w:val="EndNoteBibliography"/>
        <w:ind w:left="720" w:hanging="720"/>
      </w:pPr>
      <w:r w:rsidRPr="004D2DFB">
        <w:rPr>
          <w:noProof/>
        </w:rPr>
        <w:t>43</w:t>
      </w:r>
      <w:r w:rsidR="00B03DF3">
        <w:rPr>
          <w:noProof/>
        </w:rPr>
        <w:t>s</w:t>
      </w:r>
      <w:r w:rsidRPr="004D2DFB">
        <w:rPr>
          <w:noProof/>
        </w:rPr>
        <w:t>.</w:t>
      </w:r>
      <w:r w:rsidRPr="004D2DFB">
        <w:rPr>
          <w:noProof/>
        </w:rPr>
        <w:tab/>
        <w:t>McCormack WM, Stumacher RJ, Johnson K, Donner A</w:t>
      </w:r>
      <w:r w:rsidRPr="004D2DFB">
        <w:rPr>
          <w:b/>
          <w:noProof/>
        </w:rPr>
        <w:t xml:space="preserve">. </w:t>
      </w:r>
      <w:r w:rsidRPr="004D2DFB">
        <w:rPr>
          <w:noProof/>
        </w:rPr>
        <w:t>Clinical spectrum of gonococcal infection in women. Lancet. 1977;1(8023):1182-5.</w:t>
      </w:r>
    </w:p>
    <w:sectPr w:rsidR="00F11E49" w:rsidSect="00E4344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AE81" w14:textId="77777777" w:rsidR="009D0144" w:rsidRDefault="00B03DF3">
      <w:pPr>
        <w:rPr>
          <w:rFonts w:hint="eastAsia"/>
        </w:rPr>
      </w:pPr>
      <w:r>
        <w:separator/>
      </w:r>
    </w:p>
  </w:endnote>
  <w:endnote w:type="continuationSeparator" w:id="0">
    <w:p w14:paraId="4495B031" w14:textId="77777777" w:rsidR="009D0144" w:rsidRDefault="00B03D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DA70" w14:textId="77777777" w:rsidR="005F4020" w:rsidRDefault="00F359D1" w:rsidP="00C91314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EB117" w14:textId="77777777" w:rsidR="005F4020" w:rsidRDefault="00AC299E" w:rsidP="00C91314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06F95" w14:textId="77777777" w:rsidR="005F4020" w:rsidRPr="00C91314" w:rsidRDefault="00F359D1" w:rsidP="00C91314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C91314">
      <w:rPr>
        <w:rStyle w:val="PageNumber"/>
        <w:rFonts w:ascii="Arial" w:hAnsi="Arial"/>
      </w:rPr>
      <w:fldChar w:fldCharType="begin"/>
    </w:r>
    <w:r w:rsidRPr="00C91314">
      <w:rPr>
        <w:rStyle w:val="PageNumber"/>
        <w:rFonts w:ascii="Arial" w:hAnsi="Arial"/>
      </w:rPr>
      <w:instrText xml:space="preserve">PAGE  </w:instrText>
    </w:r>
    <w:r w:rsidRPr="00C91314">
      <w:rPr>
        <w:rStyle w:val="PageNumber"/>
        <w:rFonts w:ascii="Arial" w:hAnsi="Arial"/>
      </w:rPr>
      <w:fldChar w:fldCharType="separate"/>
    </w:r>
    <w:r w:rsidR="00AC299E">
      <w:rPr>
        <w:rStyle w:val="PageNumber"/>
        <w:rFonts w:ascii="Arial" w:hAnsi="Arial"/>
        <w:noProof/>
      </w:rPr>
      <w:t>1</w:t>
    </w:r>
    <w:r w:rsidRPr="00C91314">
      <w:rPr>
        <w:rStyle w:val="PageNumber"/>
        <w:rFonts w:ascii="Arial" w:hAnsi="Arial"/>
      </w:rPr>
      <w:fldChar w:fldCharType="end"/>
    </w:r>
  </w:p>
  <w:p w14:paraId="03E5AA55" w14:textId="77777777" w:rsidR="005F4020" w:rsidRDefault="00AC299E" w:rsidP="00C91314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7601" w14:textId="77777777" w:rsidR="009D0144" w:rsidRDefault="00B03DF3">
      <w:pPr>
        <w:rPr>
          <w:rFonts w:hint="eastAsia"/>
        </w:rPr>
      </w:pPr>
      <w:r>
        <w:separator/>
      </w:r>
    </w:p>
  </w:footnote>
  <w:footnote w:type="continuationSeparator" w:id="0">
    <w:p w14:paraId="69D583CC" w14:textId="77777777" w:rsidR="009D0144" w:rsidRDefault="00B03D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9A7"/>
    <w:multiLevelType w:val="hybridMultilevel"/>
    <w:tmpl w:val="A08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0D"/>
    <w:multiLevelType w:val="hybridMultilevel"/>
    <w:tmpl w:val="472A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3BAF"/>
    <w:multiLevelType w:val="hybridMultilevel"/>
    <w:tmpl w:val="D1DA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4240"/>
    <w:multiLevelType w:val="hybridMultilevel"/>
    <w:tmpl w:val="F8E87B1C"/>
    <w:lvl w:ilvl="0" w:tplc="7F820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15BD"/>
    <w:multiLevelType w:val="hybridMultilevel"/>
    <w:tmpl w:val="066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7B27"/>
    <w:multiLevelType w:val="hybridMultilevel"/>
    <w:tmpl w:val="912E3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3272B"/>
    <w:multiLevelType w:val="hybridMultilevel"/>
    <w:tmpl w:val="86EA5A0C"/>
    <w:lvl w:ilvl="0" w:tplc="4FF49D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A6FF8"/>
    <w:multiLevelType w:val="hybridMultilevel"/>
    <w:tmpl w:val="777C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C698C"/>
    <w:multiLevelType w:val="hybridMultilevel"/>
    <w:tmpl w:val="F4D2CE58"/>
    <w:lvl w:ilvl="0" w:tplc="1D267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B4160"/>
    <w:multiLevelType w:val="hybridMultilevel"/>
    <w:tmpl w:val="6776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541E7"/>
    <w:multiLevelType w:val="hybridMultilevel"/>
    <w:tmpl w:val="60C03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86861"/>
    <w:multiLevelType w:val="hybridMultilevel"/>
    <w:tmpl w:val="4836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85BEB"/>
    <w:multiLevelType w:val="hybridMultilevel"/>
    <w:tmpl w:val="1EEC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5A1E87"/>
    <w:multiLevelType w:val="hybridMultilevel"/>
    <w:tmpl w:val="3752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6094E"/>
    <w:multiLevelType w:val="hybridMultilevel"/>
    <w:tmpl w:val="3D94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6A2"/>
    <w:multiLevelType w:val="hybridMultilevel"/>
    <w:tmpl w:val="290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F359D1"/>
    <w:rsid w:val="00102EC7"/>
    <w:rsid w:val="0017273C"/>
    <w:rsid w:val="001F1B4F"/>
    <w:rsid w:val="00606C33"/>
    <w:rsid w:val="007614E8"/>
    <w:rsid w:val="009D0144"/>
    <w:rsid w:val="009F3839"/>
    <w:rsid w:val="00A87BA6"/>
    <w:rsid w:val="00AC299E"/>
    <w:rsid w:val="00B03DF3"/>
    <w:rsid w:val="00C853BB"/>
    <w:rsid w:val="00D238E1"/>
    <w:rsid w:val="00E4344B"/>
    <w:rsid w:val="00F11E49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31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F359D1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F359D1"/>
    <w:pPr>
      <w:spacing w:line="48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359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9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9D1"/>
  </w:style>
  <w:style w:type="paragraph" w:styleId="BalloonText">
    <w:name w:val="Balloon Text"/>
    <w:basedOn w:val="Normal"/>
    <w:link w:val="BalloonTextChar"/>
    <w:uiPriority w:val="99"/>
    <w:semiHidden/>
    <w:unhideWhenUsed/>
    <w:rsid w:val="00F35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D1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F359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F3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59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35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D1"/>
  </w:style>
  <w:style w:type="paragraph" w:styleId="Footer">
    <w:name w:val="footer"/>
    <w:basedOn w:val="Normal"/>
    <w:link w:val="FooterChar"/>
    <w:uiPriority w:val="99"/>
    <w:unhideWhenUsed/>
    <w:rsid w:val="00F35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D1"/>
  </w:style>
  <w:style w:type="character" w:styleId="PlaceholderText">
    <w:name w:val="Placeholder Text"/>
    <w:basedOn w:val="DefaultParagraphFont"/>
    <w:uiPriority w:val="99"/>
    <w:semiHidden/>
    <w:rsid w:val="00F359D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D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359D1"/>
  </w:style>
  <w:style w:type="paragraph" w:styleId="Caption">
    <w:name w:val="caption"/>
    <w:basedOn w:val="Normal"/>
    <w:next w:val="Normal"/>
    <w:uiPriority w:val="35"/>
    <w:unhideWhenUsed/>
    <w:qFormat/>
    <w:rsid w:val="00F359D1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F359D1"/>
  </w:style>
  <w:style w:type="character" w:styleId="LineNumber">
    <w:name w:val="line number"/>
    <w:basedOn w:val="DefaultParagraphFont"/>
    <w:uiPriority w:val="99"/>
    <w:semiHidden/>
    <w:unhideWhenUsed/>
    <w:rsid w:val="00F359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9D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F359D1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F359D1"/>
    <w:pPr>
      <w:spacing w:line="48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359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9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9D1"/>
  </w:style>
  <w:style w:type="paragraph" w:styleId="BalloonText">
    <w:name w:val="Balloon Text"/>
    <w:basedOn w:val="Normal"/>
    <w:link w:val="BalloonTextChar"/>
    <w:uiPriority w:val="99"/>
    <w:semiHidden/>
    <w:unhideWhenUsed/>
    <w:rsid w:val="00F35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D1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F359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F3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59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35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D1"/>
  </w:style>
  <w:style w:type="paragraph" w:styleId="Footer">
    <w:name w:val="footer"/>
    <w:basedOn w:val="Normal"/>
    <w:link w:val="FooterChar"/>
    <w:uiPriority w:val="99"/>
    <w:unhideWhenUsed/>
    <w:rsid w:val="00F35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D1"/>
  </w:style>
  <w:style w:type="character" w:styleId="PlaceholderText">
    <w:name w:val="Placeholder Text"/>
    <w:basedOn w:val="DefaultParagraphFont"/>
    <w:uiPriority w:val="99"/>
    <w:semiHidden/>
    <w:rsid w:val="00F359D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D1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359D1"/>
  </w:style>
  <w:style w:type="paragraph" w:styleId="Caption">
    <w:name w:val="caption"/>
    <w:basedOn w:val="Normal"/>
    <w:next w:val="Normal"/>
    <w:uiPriority w:val="35"/>
    <w:unhideWhenUsed/>
    <w:qFormat/>
    <w:rsid w:val="00F359D1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F359D1"/>
  </w:style>
  <w:style w:type="character" w:styleId="LineNumber">
    <w:name w:val="line number"/>
    <w:basedOn w:val="DefaultParagraphFont"/>
    <w:uiPriority w:val="99"/>
    <w:semiHidden/>
    <w:unhideWhenUsed/>
    <w:rsid w:val="00F359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</dc:creator>
  <cp:keywords/>
  <dc:description/>
  <cp:lastModifiedBy>Ashleigh</cp:lastModifiedBy>
  <cp:revision>2</cp:revision>
  <dcterms:created xsi:type="dcterms:W3CDTF">2018-04-26T23:40:00Z</dcterms:created>
  <dcterms:modified xsi:type="dcterms:W3CDTF">2018-04-26T23:40:00Z</dcterms:modified>
</cp:coreProperties>
</file>