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3E8D" w14:textId="77777777" w:rsidR="00BA6A4C" w:rsidRPr="00BA6A4C" w:rsidRDefault="00BA6A4C" w:rsidP="00BA6A4C">
      <w:r w:rsidRPr="009A4B65">
        <w:rPr>
          <w:b/>
        </w:rPr>
        <w:t xml:space="preserve">Table </w:t>
      </w:r>
      <w:r w:rsidRPr="009A4B65">
        <w:rPr>
          <w:b/>
        </w:rPr>
        <w:fldChar w:fldCharType="begin"/>
      </w:r>
      <w:r w:rsidRPr="009A4B65">
        <w:rPr>
          <w:b/>
        </w:rPr>
        <w:instrText xml:space="preserve"> SEQ Table \* ARABIC </w:instrText>
      </w:r>
      <w:r w:rsidRPr="009A4B65">
        <w:rPr>
          <w:b/>
        </w:rPr>
        <w:fldChar w:fldCharType="separate"/>
      </w:r>
      <w:r>
        <w:rPr>
          <w:b/>
          <w:noProof/>
        </w:rPr>
        <w:t>1</w:t>
      </w:r>
      <w:r w:rsidRPr="009A4B65">
        <w:rPr>
          <w:b/>
          <w:noProof/>
        </w:rPr>
        <w:fldChar w:fldCharType="end"/>
      </w:r>
      <w:r w:rsidRPr="009A4B65">
        <w:rPr>
          <w:b/>
        </w:rPr>
        <w:t>: List of selected simulation parameters.</w:t>
      </w:r>
      <w:r w:rsidRPr="009A4B65">
        <w:t xml:space="preserve"> STI, sexually transmitted infection; PrEP, pre-exposure prophylaxis for HIV.</w:t>
      </w:r>
    </w:p>
    <w:tbl>
      <w:tblPr>
        <w:tblStyle w:val="LightList"/>
        <w:tblW w:w="9900" w:type="dxa"/>
        <w:tblInd w:w="-252" w:type="dxa"/>
        <w:tblLook w:val="04A0" w:firstRow="1" w:lastRow="0" w:firstColumn="1" w:lastColumn="0" w:noHBand="0" w:noVBand="1"/>
      </w:tblPr>
      <w:tblGrid>
        <w:gridCol w:w="5220"/>
        <w:gridCol w:w="3471"/>
        <w:gridCol w:w="1209"/>
      </w:tblGrid>
      <w:tr w:rsidR="009A2087" w:rsidRPr="009A2087" w14:paraId="2667EF20" w14:textId="77777777" w:rsidTr="003F6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58C3B" w14:textId="77777777" w:rsidR="00BA6A4C" w:rsidRPr="009A2087" w:rsidRDefault="00BA6A4C" w:rsidP="00BA6A4C">
            <w:pPr>
              <w:spacing w:before="60"/>
              <w:rPr>
                <w:b w:val="0"/>
                <w:color w:val="auto"/>
                <w:sz w:val="22"/>
                <w:szCs w:val="24"/>
              </w:rPr>
            </w:pPr>
            <w:r w:rsidRPr="009A2087">
              <w:rPr>
                <w:b w:val="0"/>
                <w:color w:val="auto"/>
                <w:sz w:val="22"/>
                <w:szCs w:val="24"/>
              </w:rPr>
              <w:t>Model Parameters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14:paraId="42116137" w14:textId="77777777" w:rsidR="00BA6A4C" w:rsidRPr="009A2087" w:rsidRDefault="00BA6A4C" w:rsidP="00BA6A4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4"/>
              </w:rPr>
            </w:pPr>
            <w:r w:rsidRPr="009A2087">
              <w:rPr>
                <w:b w:val="0"/>
                <w:color w:val="auto"/>
                <w:sz w:val="22"/>
                <w:szCs w:val="24"/>
              </w:rPr>
              <w:t>Value/[Range]</w:t>
            </w:r>
            <w:r w:rsidRPr="009A2087">
              <w:rPr>
                <w:rStyle w:val="FootnoteReference"/>
                <w:sz w:val="22"/>
              </w:rPr>
              <w:footnoteReference w:id="1"/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425" w14:textId="77777777" w:rsidR="00BA6A4C" w:rsidRPr="009A2087" w:rsidRDefault="00BA6A4C" w:rsidP="00BA6A4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4"/>
              </w:rPr>
            </w:pPr>
            <w:r w:rsidRPr="009A2087">
              <w:rPr>
                <w:b w:val="0"/>
                <w:color w:val="auto"/>
                <w:sz w:val="22"/>
                <w:szCs w:val="24"/>
              </w:rPr>
              <w:t>Reference</w:t>
            </w:r>
          </w:p>
        </w:tc>
      </w:tr>
      <w:tr w:rsidR="009A2087" w:rsidRPr="009A2087" w14:paraId="5C0A3921" w14:textId="77777777" w:rsidTr="003F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7C4D76BD" w14:textId="77777777" w:rsidR="00BA6A4C" w:rsidRPr="009A2087" w:rsidRDefault="00BA6A4C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HIV disease state duration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42D121E1" w14:textId="77777777" w:rsidR="00BA6A4C" w:rsidRPr="009A2087" w:rsidRDefault="00BA6A4C" w:rsidP="00BA6A4C">
            <w:pPr>
              <w:pStyle w:val="NoSpacing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6C0D79E5" w14:textId="77777777" w:rsidR="00BA6A4C" w:rsidRPr="009A2087" w:rsidRDefault="00BA6A4C" w:rsidP="00BA6A4C">
            <w:pPr>
              <w:pStyle w:val="NoSpacing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9A2087" w:rsidRPr="009A2087" w14:paraId="4F8E2253" w14:textId="77777777" w:rsidTr="003F6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0F3E9968" w14:textId="77777777" w:rsidR="007C0AB8" w:rsidRPr="009A2087" w:rsidRDefault="007C0AB8" w:rsidP="009A2087">
            <w:pPr>
              <w:pStyle w:val="NoSpacing"/>
              <w:spacing w:before="60"/>
              <w:ind w:left="3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 xml:space="preserve">Acute infection 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6F8FEC44" w14:textId="77777777" w:rsidR="007C0AB8" w:rsidRPr="009A2087" w:rsidRDefault="007C0AB8" w:rsidP="00BA6A4C">
            <w:pPr>
              <w:pStyle w:val="NoSpacing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[6, 9] weeks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7F67E376" w14:textId="77777777" w:rsidR="007C0AB8" w:rsidRPr="009A2087" w:rsidRDefault="007C0AB8" w:rsidP="006D0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A2087">
              <w:rPr>
                <w:sz w:val="22"/>
              </w:rPr>
              <w:t>1S–3S</w:t>
            </w:r>
          </w:p>
        </w:tc>
      </w:tr>
      <w:tr w:rsidR="009A2087" w:rsidRPr="009A2087" w14:paraId="77D4E138" w14:textId="77777777" w:rsidTr="003F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1AC798C1" w14:textId="77777777" w:rsidR="007C0AB8" w:rsidRPr="009A2087" w:rsidRDefault="007C0AB8" w:rsidP="009A2087">
            <w:pPr>
              <w:pStyle w:val="NoSpacing"/>
              <w:spacing w:before="60"/>
              <w:ind w:left="3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 xml:space="preserve">Chronic infection 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763BEC57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[8, 10] years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73E6C9B4" w14:textId="77777777" w:rsidR="007C0AB8" w:rsidRPr="009A2087" w:rsidRDefault="007C0AB8" w:rsidP="006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A2087">
              <w:rPr>
                <w:sz w:val="22"/>
              </w:rPr>
              <w:t>1S,4S</w:t>
            </w:r>
          </w:p>
        </w:tc>
      </w:tr>
      <w:tr w:rsidR="009A2087" w:rsidRPr="009A2087" w14:paraId="51F0423D" w14:textId="77777777" w:rsidTr="003F6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3CD111A9" w14:textId="77777777" w:rsidR="007C0AB8" w:rsidRPr="009A2087" w:rsidRDefault="007C0AB8" w:rsidP="009A2087">
            <w:pPr>
              <w:pStyle w:val="NoSpacing"/>
              <w:spacing w:before="60"/>
              <w:ind w:left="3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Late infection</w:t>
            </w:r>
            <w:r w:rsidRPr="009A2087">
              <w:rPr>
                <w:rStyle w:val="FootnoteReference"/>
                <w:sz w:val="22"/>
              </w:rPr>
              <w:footnoteReference w:id="2"/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3B9F6506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[1, 3] years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6CF36ED8" w14:textId="77777777" w:rsidR="007C0AB8" w:rsidRPr="009A2087" w:rsidRDefault="007C0AB8" w:rsidP="006D0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A2087">
              <w:rPr>
                <w:sz w:val="22"/>
              </w:rPr>
              <w:t>1S,2S,4S</w:t>
            </w:r>
          </w:p>
        </w:tc>
      </w:tr>
      <w:tr w:rsidR="009A2087" w:rsidRPr="009A2087" w14:paraId="67D7FE8C" w14:textId="77777777" w:rsidTr="003F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0929FC0D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Time from ART initiation to full viral suppression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2AB722B1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[3, 6] months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4EBA9AF8" w14:textId="77777777" w:rsidR="007C0AB8" w:rsidRPr="009A2087" w:rsidRDefault="007C0AB8" w:rsidP="006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A2087">
              <w:rPr>
                <w:sz w:val="22"/>
              </w:rPr>
              <w:t>5S</w:t>
            </w:r>
          </w:p>
        </w:tc>
      </w:tr>
      <w:tr w:rsidR="009A2087" w:rsidRPr="009A2087" w14:paraId="6337FF41" w14:textId="77777777" w:rsidTr="003F6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644D349F" w14:textId="28244CDC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Time from ART discontinuation to pre-ART CD4 nadir</w:t>
            </w:r>
            <w:bookmarkStart w:id="0" w:name="_GoBack"/>
            <w:bookmarkEnd w:id="0"/>
            <w:r w:rsidRPr="009A2087">
              <w:rPr>
                <w:rStyle w:val="FootnoteReference"/>
                <w:sz w:val="22"/>
              </w:rPr>
              <w:footnoteReference w:id="3"/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00E8A9F5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 xml:space="preserve">[3, 9] months 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78CCC895" w14:textId="77777777" w:rsidR="007C0AB8" w:rsidRPr="009A2087" w:rsidRDefault="007C0AB8" w:rsidP="006D0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A2087">
              <w:rPr>
                <w:sz w:val="22"/>
              </w:rPr>
              <w:t>6S–9S</w:t>
            </w:r>
          </w:p>
        </w:tc>
      </w:tr>
      <w:tr w:rsidR="009A2087" w:rsidRPr="009A2087" w14:paraId="01BEE292" w14:textId="77777777" w:rsidTr="003F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7648410B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HIV mortality rate, acute and chronic HIV, no ART</w:t>
            </w:r>
          </w:p>
          <w:p w14:paraId="4CF43A6E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Reduction in HIV mortality due to ART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50727C7B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5 per 1000 person years</w:t>
            </w:r>
          </w:p>
          <w:p w14:paraId="531E5173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0.58 * Mortality rate in chronic state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4D278FA7" w14:textId="77777777" w:rsidR="007C0AB8" w:rsidRPr="009A2087" w:rsidRDefault="007C0AB8" w:rsidP="006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A2087">
              <w:rPr>
                <w:sz w:val="22"/>
              </w:rPr>
              <w:t>10S–12S</w:t>
            </w:r>
          </w:p>
        </w:tc>
      </w:tr>
      <w:tr w:rsidR="009A2087" w:rsidRPr="009A2087" w14:paraId="6D33DB4B" w14:textId="77777777" w:rsidTr="003F6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1306B9E8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 xml:space="preserve">Probability of ART discontinuation 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0416BBF9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(20%,50%,90%) by the end of (1</w:t>
            </w:r>
            <w:r w:rsidRPr="009A2087">
              <w:rPr>
                <w:sz w:val="22"/>
                <w:szCs w:val="24"/>
                <w:vertAlign w:val="superscript"/>
              </w:rPr>
              <w:t>st</w:t>
            </w:r>
            <w:r w:rsidRPr="009A2087">
              <w:rPr>
                <w:sz w:val="22"/>
                <w:szCs w:val="24"/>
              </w:rPr>
              <w:t>,2</w:t>
            </w:r>
            <w:r w:rsidRPr="009A2087">
              <w:rPr>
                <w:sz w:val="22"/>
                <w:szCs w:val="24"/>
                <w:vertAlign w:val="superscript"/>
              </w:rPr>
              <w:t>nd</w:t>
            </w:r>
            <w:r w:rsidRPr="009A2087">
              <w:rPr>
                <w:sz w:val="22"/>
                <w:szCs w:val="24"/>
              </w:rPr>
              <w:t>, 8</w:t>
            </w:r>
            <w:r w:rsidRPr="009A2087">
              <w:rPr>
                <w:sz w:val="22"/>
                <w:szCs w:val="24"/>
                <w:vertAlign w:val="superscript"/>
              </w:rPr>
              <w:t>th</w:t>
            </w:r>
            <w:r w:rsidRPr="009A2087">
              <w:rPr>
                <w:sz w:val="22"/>
                <w:szCs w:val="24"/>
              </w:rPr>
              <w:t xml:space="preserve">) year, </w:t>
            </w:r>
            <w:r w:rsidRPr="009A2087">
              <w:rPr>
                <w:bCs/>
                <w:sz w:val="22"/>
                <w:szCs w:val="24"/>
              </w:rPr>
              <w:t xml:space="preserve">50% per year afterward </w:t>
            </w:r>
            <w:r w:rsidRPr="009A2087">
              <w:rPr>
                <w:rStyle w:val="FootnoteReference"/>
                <w:sz w:val="22"/>
              </w:rPr>
              <w:footnoteReference w:id="4"/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7735FCE5" w14:textId="77777777" w:rsidR="007C0AB8" w:rsidRPr="009A2087" w:rsidRDefault="007C0AB8" w:rsidP="006D0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A2087">
              <w:rPr>
                <w:sz w:val="22"/>
              </w:rPr>
              <w:t>13S</w:t>
            </w:r>
          </w:p>
        </w:tc>
      </w:tr>
      <w:tr w:rsidR="009A2087" w:rsidRPr="009A2087" w14:paraId="49D14AB2" w14:textId="77777777" w:rsidTr="003F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7970C10E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Average viral load (log</w:t>
            </w:r>
            <w:r w:rsidRPr="009A2087">
              <w:rPr>
                <w:b w:val="0"/>
                <w:sz w:val="22"/>
                <w:szCs w:val="24"/>
              </w:rPr>
              <w:softHyphen/>
              <w:t>10 copies/mL)</w:t>
            </w:r>
          </w:p>
          <w:p w14:paraId="75AB3D2E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 xml:space="preserve">  Acute, no ART</w:t>
            </w:r>
          </w:p>
          <w:p w14:paraId="4556FABB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 xml:space="preserve">  Chronic, no ART</w:t>
            </w:r>
          </w:p>
          <w:p w14:paraId="34DDBCDD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 xml:space="preserve">  Late, no ART</w:t>
            </w:r>
          </w:p>
          <w:p w14:paraId="39A33776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 xml:space="preserve">  On ART, partially suppressed</w:t>
            </w:r>
          </w:p>
          <w:p w14:paraId="45938727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 xml:space="preserve">  On ART, fully suppressed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47B4C27A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 xml:space="preserve"> </w:t>
            </w:r>
          </w:p>
          <w:p w14:paraId="7C959DF4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6.5</w:t>
            </w:r>
          </w:p>
          <w:p w14:paraId="12D99F77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4.5</w:t>
            </w:r>
          </w:p>
          <w:p w14:paraId="41C75B97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5</w:t>
            </w:r>
          </w:p>
          <w:p w14:paraId="18119503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3.5</w:t>
            </w:r>
          </w:p>
          <w:p w14:paraId="758E4FCE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sz w:val="22"/>
                <w:szCs w:val="24"/>
              </w:rPr>
              <w:t>1.5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6F98891F" w14:textId="77777777" w:rsidR="007C0AB8" w:rsidRPr="009A2087" w:rsidRDefault="007C0AB8" w:rsidP="006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A2087" w:rsidRPr="009A2087" w14:paraId="616F7657" w14:textId="77777777" w:rsidTr="003F619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7D2B5FCF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Infectiousness per sexual contact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04077D8A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A2087">
              <w:rPr>
                <w:bCs/>
                <w:sz w:val="22"/>
                <w:szCs w:val="24"/>
              </w:rPr>
              <w:t>2.45</w:t>
            </w:r>
            <w:r w:rsidRPr="009A2087">
              <w:rPr>
                <w:bCs/>
                <w:sz w:val="22"/>
                <w:szCs w:val="24"/>
                <w:vertAlign w:val="superscript"/>
              </w:rPr>
              <w:t>(log(VL)-4.5)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2E67DBFE" w14:textId="77777777" w:rsidR="007C0AB8" w:rsidRPr="009A2087" w:rsidRDefault="007C0AB8" w:rsidP="006D0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A2087">
              <w:rPr>
                <w:sz w:val="22"/>
              </w:rPr>
              <w:t>1S</w:t>
            </w:r>
          </w:p>
        </w:tc>
      </w:tr>
      <w:tr w:rsidR="009A2087" w:rsidRPr="009A2087" w14:paraId="7AF1B9B8" w14:textId="77777777" w:rsidTr="003F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0C1BC3FF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Annual number STI clinic visits among MSM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203ABFB1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4"/>
              </w:rPr>
            </w:pPr>
            <w:r w:rsidRPr="009A2087">
              <w:rPr>
                <w:bCs/>
                <w:sz w:val="22"/>
                <w:szCs w:val="24"/>
              </w:rPr>
              <w:t>966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08D8A9AB" w14:textId="77777777" w:rsidR="007C0AB8" w:rsidRPr="009A2087" w:rsidRDefault="007C0AB8" w:rsidP="006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A2087">
              <w:rPr>
                <w:sz w:val="22"/>
              </w:rPr>
              <w:t>1S</w:t>
            </w:r>
          </w:p>
        </w:tc>
      </w:tr>
      <w:tr w:rsidR="009A2087" w:rsidRPr="009A2087" w14:paraId="4A449B09" w14:textId="77777777" w:rsidTr="003F619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266EB551" w14:textId="77777777" w:rsidR="007C0AB8" w:rsidRPr="009A2087" w:rsidRDefault="007C0AB8" w:rsidP="009A2087">
            <w:pPr>
              <w:pStyle w:val="NoSpacing"/>
              <w:spacing w:before="60"/>
              <w:jc w:val="left"/>
              <w:rPr>
                <w:b w:val="0"/>
                <w:i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PrEP reassessment period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002EA671" w14:textId="77777777" w:rsidR="007C0AB8" w:rsidRPr="009A2087" w:rsidRDefault="007C0AB8" w:rsidP="00BA6A4C">
            <w:pPr>
              <w:pStyle w:val="NoSpacing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4"/>
              </w:rPr>
            </w:pPr>
            <w:r w:rsidRPr="009A2087">
              <w:rPr>
                <w:bCs/>
                <w:sz w:val="22"/>
                <w:szCs w:val="24"/>
              </w:rPr>
              <w:t>3 months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18B3F181" w14:textId="77777777" w:rsidR="007C0AB8" w:rsidRPr="009A2087" w:rsidRDefault="007C0AB8" w:rsidP="006D0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A2087">
              <w:rPr>
                <w:sz w:val="22"/>
              </w:rPr>
              <w:t>14S</w:t>
            </w:r>
          </w:p>
        </w:tc>
      </w:tr>
      <w:tr w:rsidR="009A2087" w:rsidRPr="009A2087" w14:paraId="4482D91F" w14:textId="77777777" w:rsidTr="003F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14:paraId="44FC80D1" w14:textId="77777777" w:rsidR="00BA6A4C" w:rsidRPr="009A2087" w:rsidRDefault="00BA6A4C" w:rsidP="00BA6A4C">
            <w:pPr>
              <w:pStyle w:val="NoSpacing"/>
              <w:spacing w:before="60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PrEP uptake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25E6A818" w14:textId="77777777" w:rsidR="00BA6A4C" w:rsidRPr="009A2087" w:rsidRDefault="00BA6A4C" w:rsidP="00BA6A4C">
            <w:pPr>
              <w:pStyle w:val="NoSpacing"/>
              <w:spacing w:before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4"/>
              </w:rPr>
            </w:pPr>
            <w:r w:rsidRPr="009A2087">
              <w:rPr>
                <w:bCs/>
                <w:sz w:val="22"/>
                <w:szCs w:val="24"/>
              </w:rPr>
              <w:t>60% [0-100%]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14:paraId="1CCB7637" w14:textId="77777777" w:rsidR="00BA6A4C" w:rsidRPr="009A2087" w:rsidRDefault="00BA6A4C" w:rsidP="00BA6A4C">
            <w:pPr>
              <w:pStyle w:val="NoSpacing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4"/>
              </w:rPr>
            </w:pPr>
          </w:p>
        </w:tc>
      </w:tr>
      <w:tr w:rsidR="009A2087" w:rsidRPr="009A2087" w14:paraId="28CA0690" w14:textId="77777777" w:rsidTr="003F6197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D05C7E" w14:textId="77777777" w:rsidR="00BA6A4C" w:rsidRPr="009A2087" w:rsidRDefault="00BA6A4C" w:rsidP="00BA6A4C">
            <w:pPr>
              <w:pStyle w:val="NoSpacing"/>
              <w:spacing w:before="60"/>
              <w:rPr>
                <w:b w:val="0"/>
                <w:sz w:val="22"/>
                <w:szCs w:val="24"/>
              </w:rPr>
            </w:pPr>
            <w:r w:rsidRPr="009A2087">
              <w:rPr>
                <w:b w:val="0"/>
                <w:sz w:val="22"/>
                <w:szCs w:val="24"/>
              </w:rPr>
              <w:t>PrEP adherence</w:t>
            </w:r>
            <w:r w:rsidRPr="009A2087">
              <w:rPr>
                <w:rStyle w:val="FootnoteReference"/>
                <w:sz w:val="22"/>
              </w:rPr>
              <w:footnoteReference w:id="5"/>
            </w:r>
            <w:r w:rsidRPr="009A2087">
              <w:rPr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3471" w:type="dxa"/>
            <w:tcBorders>
              <w:top w:val="nil"/>
              <w:bottom w:val="single" w:sz="4" w:space="0" w:color="auto"/>
            </w:tcBorders>
          </w:tcPr>
          <w:p w14:paraId="56792CA2" w14:textId="77777777" w:rsidR="00BA6A4C" w:rsidRPr="009A2087" w:rsidRDefault="00BA6A4C" w:rsidP="00BA6A4C">
            <w:pPr>
              <w:pStyle w:val="NoSpacing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4"/>
              </w:rPr>
            </w:pPr>
            <w:r w:rsidRPr="009A2087">
              <w:rPr>
                <w:bCs/>
                <w:sz w:val="22"/>
                <w:szCs w:val="24"/>
              </w:rPr>
              <w:t>60% [0-100%]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B21B32" w14:textId="77777777" w:rsidR="00BA6A4C" w:rsidRPr="009A2087" w:rsidRDefault="00BA6A4C" w:rsidP="00BA6A4C">
            <w:pPr>
              <w:pStyle w:val="NoSpacing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4"/>
              </w:rPr>
            </w:pPr>
          </w:p>
        </w:tc>
      </w:tr>
    </w:tbl>
    <w:p w14:paraId="696A7B09" w14:textId="77777777" w:rsidR="007C0AB8" w:rsidRDefault="007C0AB8" w:rsidP="004820EC">
      <w:pPr>
        <w:widowControl w:val="0"/>
        <w:autoSpaceDE w:val="0"/>
        <w:autoSpaceDN w:val="0"/>
        <w:adjustRightInd w:val="0"/>
      </w:pPr>
    </w:p>
    <w:sectPr w:rsidR="007C0AB8" w:rsidSect="0022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CE6A" w14:textId="77777777" w:rsidR="00922BAB" w:rsidRDefault="00922BAB" w:rsidP="00BA6A4C">
      <w:pPr>
        <w:spacing w:before="0"/>
      </w:pPr>
      <w:r>
        <w:separator/>
      </w:r>
    </w:p>
  </w:endnote>
  <w:endnote w:type="continuationSeparator" w:id="0">
    <w:p w14:paraId="51D211E0" w14:textId="77777777" w:rsidR="00922BAB" w:rsidRDefault="00922BAB" w:rsidP="00BA6A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ABA7" w14:textId="77777777" w:rsidR="00922BAB" w:rsidRDefault="00922BAB" w:rsidP="00BA6A4C">
      <w:pPr>
        <w:spacing w:before="0"/>
      </w:pPr>
      <w:r>
        <w:separator/>
      </w:r>
    </w:p>
  </w:footnote>
  <w:footnote w:type="continuationSeparator" w:id="0">
    <w:p w14:paraId="48996647" w14:textId="77777777" w:rsidR="00922BAB" w:rsidRDefault="00922BAB" w:rsidP="00BA6A4C">
      <w:pPr>
        <w:spacing w:before="0"/>
      </w:pPr>
      <w:r>
        <w:continuationSeparator/>
      </w:r>
    </w:p>
  </w:footnote>
  <w:footnote w:id="1">
    <w:p w14:paraId="35ACE512" w14:textId="77777777" w:rsidR="00BA6A4C" w:rsidRDefault="00BA6A4C" w:rsidP="00BA6A4C">
      <w:r w:rsidRPr="007C0AB8">
        <w:rPr>
          <w:rStyle w:val="FootnoteReference"/>
        </w:rPr>
        <w:footnoteRef/>
      </w:r>
      <w:r>
        <w:t xml:space="preserve"> Values generated via uniform distributions over the specified range unless stated otherwise</w:t>
      </w:r>
    </w:p>
  </w:footnote>
  <w:footnote w:id="2">
    <w:p w14:paraId="44DCB0A4" w14:textId="77777777" w:rsidR="007C0AB8" w:rsidRDefault="007C0AB8" w:rsidP="007C0AB8">
      <w:r w:rsidRPr="007C0AB8">
        <w:rPr>
          <w:rStyle w:val="FootnoteReference"/>
        </w:rPr>
        <w:footnoteRef/>
      </w:r>
      <w:r>
        <w:t xml:space="preserve"> Duration reflects the mortality rate due to late HIV disease</w:t>
      </w:r>
    </w:p>
  </w:footnote>
  <w:footnote w:id="3">
    <w:p w14:paraId="617159E5" w14:textId="77777777" w:rsidR="007C0AB8" w:rsidRDefault="007C0AB8" w:rsidP="007C0AB8">
      <w:r w:rsidRPr="007C0AB8">
        <w:rPr>
          <w:rStyle w:val="FootnoteReference"/>
        </w:rPr>
        <w:footnoteRef/>
      </w:r>
      <w:r>
        <w:t xml:space="preserve"> Infectiousness assumed equal to that of the chronic state</w:t>
      </w:r>
    </w:p>
  </w:footnote>
  <w:footnote w:id="4">
    <w:p w14:paraId="5492899F" w14:textId="77777777" w:rsidR="007C0AB8" w:rsidRDefault="007C0AB8" w:rsidP="007C0AB8">
      <w:r w:rsidRPr="007C0AB8">
        <w:rPr>
          <w:rStyle w:val="FootnoteReference"/>
        </w:rPr>
        <w:footnoteRef/>
      </w:r>
      <w:r>
        <w:t xml:space="preserve"> </w:t>
      </w:r>
      <w:r w:rsidRPr="00F05100">
        <w:t xml:space="preserve">Values adjusted via a simulation coefficient (p=0.7) for calibration to </w:t>
      </w:r>
      <w:r w:rsidRPr="00A75A84">
        <w:t>Baltimore</w:t>
      </w:r>
      <w:r w:rsidRPr="00F05100">
        <w:t xml:space="preserve"> data</w:t>
      </w:r>
    </w:p>
  </w:footnote>
  <w:footnote w:id="5">
    <w:p w14:paraId="14B67407" w14:textId="77777777" w:rsidR="00BA6A4C" w:rsidRDefault="00BA6A4C" w:rsidP="00BA6A4C">
      <w:r w:rsidRPr="007C0AB8">
        <w:rPr>
          <w:rStyle w:val="FootnoteReference"/>
        </w:rPr>
        <w:footnoteRef/>
      </w:r>
      <w:r>
        <w:t xml:space="preserve"> </w:t>
      </w:r>
      <w:r w:rsidRPr="00524A73">
        <w:t>PrEP is 100% effective if adhered 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AE0"/>
    <w:multiLevelType w:val="multilevel"/>
    <w:tmpl w:val="6A2A6616"/>
    <w:lvl w:ilvl="0">
      <w:start w:val="1"/>
      <w:numFmt w:val="decimal"/>
      <w:lvlText w:val="S.%1"/>
      <w:lvlJc w:val="left"/>
      <w:pPr>
        <w:ind w:left="432" w:hanging="432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ing2"/>
      <w:lvlText w:val="S.%1.%2"/>
      <w:lvlJc w:val="left"/>
      <w:pPr>
        <w:ind w:left="576" w:hanging="576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asciiTheme="majorHAnsi" w:hAnsiTheme="majorHAnsi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15953CE"/>
    <w:multiLevelType w:val="multilevel"/>
    <w:tmpl w:val="CE701B4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A4C"/>
    <w:rsid w:val="00026D54"/>
    <w:rsid w:val="00226834"/>
    <w:rsid w:val="003F6197"/>
    <w:rsid w:val="004820EC"/>
    <w:rsid w:val="00794224"/>
    <w:rsid w:val="007C0AB8"/>
    <w:rsid w:val="007C0F91"/>
    <w:rsid w:val="00922BAB"/>
    <w:rsid w:val="009A2087"/>
    <w:rsid w:val="00A32828"/>
    <w:rsid w:val="00BA6A4C"/>
    <w:rsid w:val="00F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DBC76"/>
  <w14:defaultImageDpi w14:val="300"/>
  <w15:docId w15:val="{9E5C0BDB-6CB9-824E-9514-FE139166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Indent"/>
    <w:qFormat/>
    <w:rsid w:val="00BA6A4C"/>
    <w:pPr>
      <w:tabs>
        <w:tab w:val="left" w:pos="360"/>
        <w:tab w:val="left" w:pos="720"/>
        <w:tab w:val="left" w:pos="1080"/>
      </w:tabs>
      <w:spacing w:before="120"/>
      <w:jc w:val="both"/>
    </w:pPr>
    <w:rPr>
      <w:rFonts w:ascii="Calibri" w:hAnsi="Calibri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F91"/>
    <w:pPr>
      <w:keepNext/>
      <w:tabs>
        <w:tab w:val="clear" w:pos="360"/>
      </w:tabs>
      <w:suppressAutoHyphens/>
      <w:spacing w:before="480" w:after="360" w:line="360" w:lineRule="auto"/>
      <w:ind w:left="432" w:hanging="432"/>
      <w:jc w:val="left"/>
      <w:outlineLvl w:val="0"/>
    </w:pPr>
    <w:rPr>
      <w:rFonts w:asciiTheme="majorHAnsi" w:eastAsiaTheme="majorEastAsia" w:hAnsiTheme="majorHAnsi" w:cstheme="majorBidi"/>
      <w:b/>
      <w:bCs/>
      <w:noProof/>
      <w:snapToGrid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autoRedefine/>
    <w:qFormat/>
    <w:rsid w:val="00026D54"/>
    <w:pPr>
      <w:keepNext/>
      <w:numPr>
        <w:ilvl w:val="1"/>
        <w:numId w:val="6"/>
      </w:numPr>
      <w:tabs>
        <w:tab w:val="clear" w:pos="360"/>
      </w:tabs>
      <w:suppressAutoHyphens/>
      <w:spacing w:before="240" w:after="120"/>
      <w:ind w:left="432" w:hanging="432"/>
      <w:jc w:val="left"/>
      <w:outlineLvl w:val="1"/>
    </w:pPr>
    <w:rPr>
      <w:rFonts w:asciiTheme="majorHAnsi" w:hAnsiTheme="majorHAnsi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6D54"/>
    <w:rPr>
      <w:rFonts w:asciiTheme="majorHAnsi" w:hAnsiTheme="majorHAnsi" w:cstheme="majorBidi"/>
      <w:b/>
      <w:snapToGrid w:val="0"/>
      <w:sz w:val="22"/>
    </w:rPr>
  </w:style>
  <w:style w:type="paragraph" w:styleId="NormalIndent">
    <w:name w:val="Normal Indent"/>
    <w:basedOn w:val="Normal"/>
    <w:uiPriority w:val="99"/>
    <w:semiHidden/>
    <w:unhideWhenUsed/>
    <w:rsid w:val="00A32828"/>
    <w:pPr>
      <w:spacing w:after="120"/>
      <w:ind w:left="720"/>
    </w:pPr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24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24"/>
    <w:rPr>
      <w:rFonts w:ascii="Lucida Grande" w:hAnsi="Lucida Grande" w:cs="Lucida Grande"/>
      <w:snapToGrid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0F91"/>
    <w:rPr>
      <w:rFonts w:asciiTheme="majorHAnsi" w:eastAsiaTheme="majorEastAsia" w:hAnsiTheme="majorHAnsi" w:cstheme="majorBidi"/>
      <w:b/>
      <w:bCs/>
      <w:noProof/>
      <w:sz w:val="32"/>
      <w:szCs w:val="32"/>
      <w:lang w:val="en-CA"/>
    </w:rPr>
  </w:style>
  <w:style w:type="paragraph" w:styleId="Caption">
    <w:name w:val="caption"/>
    <w:basedOn w:val="Normal"/>
    <w:next w:val="Normal"/>
    <w:qFormat/>
    <w:rsid w:val="00BA6A4C"/>
    <w:pPr>
      <w:spacing w:after="120"/>
    </w:pPr>
    <w:rPr>
      <w:b/>
      <w:bCs/>
    </w:rPr>
  </w:style>
  <w:style w:type="paragraph" w:styleId="NoSpacing">
    <w:name w:val="No Spacing"/>
    <w:uiPriority w:val="1"/>
    <w:qFormat/>
    <w:rsid w:val="00BA6A4C"/>
    <w:pPr>
      <w:tabs>
        <w:tab w:val="left" w:pos="360"/>
        <w:tab w:val="left" w:pos="720"/>
        <w:tab w:val="left" w:pos="1080"/>
      </w:tabs>
      <w:jc w:val="both"/>
    </w:pPr>
    <w:rPr>
      <w:rFonts w:asciiTheme="majorHAnsi" w:hAnsiTheme="majorHAnsi" w:cs="Times New Roman"/>
      <w:snapToGrid w:val="0"/>
      <w:sz w:val="18"/>
      <w:szCs w:val="20"/>
    </w:rPr>
  </w:style>
  <w:style w:type="table" w:styleId="LightList">
    <w:name w:val="Light List"/>
    <w:basedOn w:val="TableNormal"/>
    <w:uiPriority w:val="61"/>
    <w:rsid w:val="00BA6A4C"/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otnoteReference">
    <w:name w:val="footnote reference"/>
    <w:basedOn w:val="DefaultParagraphFont"/>
    <w:uiPriority w:val="99"/>
    <w:unhideWhenUsed/>
    <w:rsid w:val="00BA6A4C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7C0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E2974-07F3-EB4A-ABA8-C4D3B253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Parastu kas</cp:lastModifiedBy>
  <cp:revision>5</cp:revision>
  <dcterms:created xsi:type="dcterms:W3CDTF">2017-12-14T19:46:00Z</dcterms:created>
  <dcterms:modified xsi:type="dcterms:W3CDTF">2018-11-08T15:32:00Z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cb6ef397-6839-3167-9385-e42f93f109bd</vt:lpwstr>
  </property>
  <property fmtid="{D5CDD505-2E9C-101B-9397-08002B2CF9AE}" pid="4" name="Mendeley Citation Style_1">
    <vt:lpwstr>http://www.zotero.org/styles/sexually-transmitted-diseases</vt:lpwstr>
  </property>
  <property fmtid="{D5CDD505-2E9C-101B-9397-08002B2CF9AE}" pid="5" name="Mendeley Recent Style Id 0_1">
    <vt:lpwstr>http://www.zotero.org/styles/aids</vt:lpwstr>
  </property>
  <property fmtid="{D5CDD505-2E9C-101B-9397-08002B2CF9AE}" pid="6" name="Mendeley Recent Style Name 0_1">
    <vt:lpwstr>AIDS</vt:lpwstr>
  </property>
  <property fmtid="{D5CDD505-2E9C-101B-9397-08002B2CF9AE}" pid="7" name="Mendeley Recent Style Id 1_1">
    <vt:lpwstr>http://www.zotero.org/styles/american-journal-of-respiratory-and-critical-care-medicine</vt:lpwstr>
  </property>
  <property fmtid="{D5CDD505-2E9C-101B-9397-08002B2CF9AE}" pid="8" name="Mendeley Recent Style Name 1_1">
    <vt:lpwstr>American Journal of Respiratory and Critical Care Medicine</vt:lpwstr>
  </property>
  <property fmtid="{D5CDD505-2E9C-101B-9397-08002B2CF9AE}" pid="9" name="Mendeley Recent Style Id 2_1">
    <vt:lpwstr>http://www.zotero.org/styles/american-medical-association</vt:lpwstr>
  </property>
  <property fmtid="{D5CDD505-2E9C-101B-9397-08002B2CF9AE}" pid="10" name="Mendeley Recent Style Name 2_1">
    <vt:lpwstr>American Medical Association</vt:lpwstr>
  </property>
  <property fmtid="{D5CDD505-2E9C-101B-9397-08002B2CF9AE}" pid="11" name="Mendeley Recent Style Id 3_1">
    <vt:lpwstr>http://www.zotero.org/styles/american-political-science-association</vt:lpwstr>
  </property>
  <property fmtid="{D5CDD505-2E9C-101B-9397-08002B2CF9AE}" pid="12" name="Mendeley Recent Style Name 3_1">
    <vt:lpwstr>American Political Science Association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http://www.zotero.org/styles/clinical-infectious-diseases</vt:lpwstr>
  </property>
  <property fmtid="{D5CDD505-2E9C-101B-9397-08002B2CF9AE}" pid="18" name="Mendeley Recent Style Name 6_1">
    <vt:lpwstr>Clinical Infectious Diseases</vt:lpwstr>
  </property>
  <property fmtid="{D5CDD505-2E9C-101B-9397-08002B2CF9AE}" pid="19" name="Mendeley Recent Style Id 7_1">
    <vt:lpwstr>http://www.zotero.org/styles/science-translational-medicine</vt:lpwstr>
  </property>
  <property fmtid="{D5CDD505-2E9C-101B-9397-08002B2CF9AE}" pid="20" name="Mendeley Recent Style Name 7_1">
    <vt:lpwstr>Science Translational Medicine</vt:lpwstr>
  </property>
  <property fmtid="{D5CDD505-2E9C-101B-9397-08002B2CF9AE}" pid="21" name="Mendeley Recent Style Id 8_1">
    <vt:lpwstr>http://www.zotero.org/styles/sexually-transmitted-diseases</vt:lpwstr>
  </property>
  <property fmtid="{D5CDD505-2E9C-101B-9397-08002B2CF9AE}" pid="22" name="Mendeley Recent Style Name 8_1">
    <vt:lpwstr>Sexually Transmitted Diseases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