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25" w:rsidRPr="006E338A" w:rsidRDefault="00713225" w:rsidP="00713225">
      <w:pPr>
        <w:rPr>
          <w:rFonts w:asciiTheme="minorHAnsi" w:hAnsiTheme="minorHAnsi" w:cstheme="minorHAnsi"/>
          <w:b/>
        </w:rPr>
      </w:pPr>
      <w:r w:rsidRPr="006E338A">
        <w:rPr>
          <w:rFonts w:asciiTheme="minorHAnsi" w:hAnsiTheme="minorHAnsi" w:cstheme="minorHAnsi"/>
          <w:b/>
        </w:rPr>
        <w:t>Supplemental Digital Content Table 3: Quality assessment of case-control studies.</w:t>
      </w:r>
    </w:p>
    <w:tbl>
      <w:tblPr>
        <w:tblStyle w:val="TableGrid"/>
        <w:tblW w:w="0" w:type="auto"/>
        <w:tblInd w:w="-365" w:type="dxa"/>
        <w:tblLook w:val="04A0" w:firstRow="1" w:lastRow="0" w:firstColumn="1" w:lastColumn="0" w:noHBand="0" w:noVBand="1"/>
      </w:tblPr>
      <w:tblGrid>
        <w:gridCol w:w="775"/>
        <w:gridCol w:w="905"/>
        <w:gridCol w:w="1602"/>
        <w:gridCol w:w="905"/>
        <w:gridCol w:w="1211"/>
        <w:gridCol w:w="1254"/>
        <w:gridCol w:w="1235"/>
        <w:gridCol w:w="1075"/>
        <w:gridCol w:w="979"/>
      </w:tblGrid>
      <w:tr w:rsidR="00713225" w:rsidRPr="00EE2286" w:rsidTr="00DA791E">
        <w:tc>
          <w:tcPr>
            <w:tcW w:w="1530"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Citation</w:t>
            </w:r>
          </w:p>
        </w:tc>
        <w:tc>
          <w:tcPr>
            <w:tcW w:w="1135"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STI case definition accurate (1)</w:t>
            </w:r>
          </w:p>
        </w:tc>
        <w:tc>
          <w:tcPr>
            <w:tcW w:w="1683"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Representativeness of cases (1)</w:t>
            </w:r>
          </w:p>
        </w:tc>
        <w:tc>
          <w:tcPr>
            <w:tcW w:w="1244"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 xml:space="preserve">Control selection (1) and definition (1) </w:t>
            </w:r>
          </w:p>
        </w:tc>
        <w:tc>
          <w:tcPr>
            <w:tcW w:w="1313"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Comparability of cases and controls in design or analysis (2)</w:t>
            </w:r>
          </w:p>
        </w:tc>
        <w:tc>
          <w:tcPr>
            <w:tcW w:w="1315"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Ascertainment of HC (3)</w:t>
            </w:r>
          </w:p>
        </w:tc>
        <w:tc>
          <w:tcPr>
            <w:tcW w:w="1295"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Same ascertainment method for cases and controls (1)</w:t>
            </w:r>
          </w:p>
        </w:tc>
        <w:tc>
          <w:tcPr>
            <w:tcW w:w="1238" w:type="dxa"/>
          </w:tcPr>
          <w:p w:rsidR="00713225" w:rsidRPr="00EE2286" w:rsidRDefault="00713225" w:rsidP="00DA791E">
            <w:pPr>
              <w:rPr>
                <w:rFonts w:asciiTheme="minorHAnsi" w:hAnsiTheme="minorHAnsi" w:cstheme="minorHAnsi"/>
                <w:b/>
                <w:sz w:val="18"/>
                <w:szCs w:val="18"/>
              </w:rPr>
            </w:pPr>
            <w:r>
              <w:rPr>
                <w:rFonts w:asciiTheme="minorHAnsi" w:hAnsiTheme="minorHAnsi" w:cstheme="minorHAnsi"/>
                <w:b/>
                <w:sz w:val="18"/>
                <w:szCs w:val="18"/>
              </w:rPr>
              <w:t>Comparable non-</w:t>
            </w:r>
            <w:r w:rsidRPr="00EE2286">
              <w:rPr>
                <w:rFonts w:asciiTheme="minorHAnsi" w:hAnsiTheme="minorHAnsi" w:cstheme="minorHAnsi"/>
                <w:b/>
                <w:sz w:val="18"/>
                <w:szCs w:val="18"/>
              </w:rPr>
              <w:t xml:space="preserve">response rate </w:t>
            </w:r>
            <w:r>
              <w:rPr>
                <w:rFonts w:asciiTheme="minorHAnsi" w:hAnsiTheme="minorHAnsi" w:cstheme="minorHAnsi"/>
                <w:b/>
                <w:sz w:val="18"/>
                <w:szCs w:val="18"/>
              </w:rPr>
              <w:t xml:space="preserve">for cases and controls </w:t>
            </w:r>
            <w:r w:rsidRPr="00EE2286">
              <w:rPr>
                <w:rFonts w:asciiTheme="minorHAnsi" w:hAnsiTheme="minorHAnsi" w:cstheme="minorHAnsi"/>
                <w:b/>
                <w:sz w:val="18"/>
                <w:szCs w:val="18"/>
              </w:rPr>
              <w:t>(1)</w:t>
            </w:r>
          </w:p>
        </w:tc>
        <w:tc>
          <w:tcPr>
            <w:tcW w:w="1247" w:type="dxa"/>
          </w:tcPr>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Total score</w:t>
            </w:r>
          </w:p>
          <w:p w:rsidR="00713225" w:rsidRPr="00EE2286" w:rsidRDefault="00713225" w:rsidP="00DA791E">
            <w:pPr>
              <w:rPr>
                <w:rFonts w:asciiTheme="minorHAnsi" w:hAnsiTheme="minorHAnsi" w:cstheme="minorHAnsi"/>
                <w:b/>
                <w:sz w:val="18"/>
                <w:szCs w:val="18"/>
              </w:rPr>
            </w:pPr>
          </w:p>
          <w:p w:rsidR="00713225" w:rsidRPr="00EE2286" w:rsidRDefault="00713225" w:rsidP="00DA791E">
            <w:pPr>
              <w:rPr>
                <w:rFonts w:asciiTheme="minorHAnsi" w:hAnsiTheme="minorHAnsi" w:cstheme="minorHAnsi"/>
                <w:b/>
                <w:sz w:val="18"/>
                <w:szCs w:val="18"/>
              </w:rPr>
            </w:pPr>
            <w:r w:rsidRPr="00EE2286">
              <w:rPr>
                <w:rFonts w:asciiTheme="minorHAnsi" w:hAnsiTheme="minorHAnsi" w:cstheme="minorHAnsi"/>
                <w:b/>
                <w:sz w:val="18"/>
                <w:szCs w:val="18"/>
              </w:rPr>
              <w:t>Quality rating:</w:t>
            </w:r>
          </w:p>
          <w:p w:rsidR="00713225" w:rsidRPr="00EE2286" w:rsidRDefault="00713225" w:rsidP="00DA791E">
            <w:pPr>
              <w:jc w:val="center"/>
              <w:rPr>
                <w:rFonts w:asciiTheme="minorHAnsi" w:hAnsiTheme="minorHAnsi" w:cstheme="minorHAnsi"/>
                <w:sz w:val="18"/>
                <w:szCs w:val="18"/>
              </w:rPr>
            </w:pPr>
            <w:r w:rsidRPr="00EE2286">
              <w:rPr>
                <w:rFonts w:asciiTheme="minorHAnsi" w:hAnsiTheme="minorHAnsi" w:cstheme="minorHAnsi"/>
                <w:sz w:val="18"/>
                <w:szCs w:val="18"/>
              </w:rPr>
              <w:t>High (8-10)</w:t>
            </w:r>
          </w:p>
          <w:p w:rsidR="00713225" w:rsidRPr="00EE2286" w:rsidRDefault="00713225" w:rsidP="00DA791E">
            <w:pPr>
              <w:jc w:val="center"/>
              <w:rPr>
                <w:rFonts w:asciiTheme="minorHAnsi" w:hAnsiTheme="minorHAnsi" w:cstheme="minorHAnsi"/>
                <w:sz w:val="18"/>
                <w:szCs w:val="18"/>
              </w:rPr>
            </w:pPr>
            <w:r w:rsidRPr="00EE2286">
              <w:rPr>
                <w:rFonts w:asciiTheme="minorHAnsi" w:hAnsiTheme="minorHAnsi" w:cstheme="minorHAnsi"/>
                <w:sz w:val="18"/>
                <w:szCs w:val="18"/>
              </w:rPr>
              <w:t>Medium (5-7)</w:t>
            </w:r>
          </w:p>
          <w:p w:rsidR="00713225" w:rsidRPr="00EE2286" w:rsidRDefault="00713225" w:rsidP="00DA791E">
            <w:pPr>
              <w:jc w:val="center"/>
              <w:rPr>
                <w:rFonts w:asciiTheme="minorHAnsi" w:hAnsiTheme="minorHAnsi" w:cstheme="minorHAnsi"/>
                <w:b/>
                <w:sz w:val="18"/>
                <w:szCs w:val="18"/>
              </w:rPr>
            </w:pPr>
            <w:r w:rsidRPr="00EE2286">
              <w:rPr>
                <w:rFonts w:asciiTheme="minorHAnsi" w:hAnsiTheme="minorHAnsi" w:cstheme="minorHAnsi"/>
                <w:sz w:val="18"/>
                <w:szCs w:val="18"/>
              </w:rPr>
              <w:t>Low (&lt;5)</w:t>
            </w:r>
          </w:p>
        </w:tc>
      </w:tr>
      <w:tr w:rsidR="00713225" w:rsidRPr="00EE2286" w:rsidTr="00DA791E">
        <w:tc>
          <w:tcPr>
            <w:tcW w:w="1530"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Harris 2009</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{"citationItems":[{"id":"ITEM-1","itemData":{"DOI":"10.1016/j.ajog.2009.01.030","ISSN":"1097-6868","PMID":"19375566","abstract":"OBJECTIVE The objective of the study was to examine the relationship of depot-medroxyprogesterone acetate (DMPA) and combined oral contraceptive (COC) use with cervical intraepithelial neoplasia (CIN). STUDY DESIGN Two case-control studies of women who presented for gynecologic care and underwent cytologic and human papillomavirus (HPV) testing were performed. The first included oncogenic HPV-positive women grouped based on histology: negative (n = 152), CIN1 (n = 133), and CIN2-3 or greater (n = 173). For the second, 2 groups were identified: negative HPV/negative histology (n = 107) and positive oncogenic HPV/negative histology (n = 152). RESULTS Among oncogenic HPV-positive women, DMPA use was inversely associated with CIN2-3 or greater (adjusted odds ratio [OR(adj)], 0.4; 95% confidence interval [CI], 0.2-1.1) and CIN1 (OR(adj), 0.1; 95% CI, 0.01-0.6); COC use was not associated with either. Among histologically negative women, DMPA use was associated with oncogenic HPV (OR(adj), 4.7; 95% CI, 1.4-15.8). CONCLUSION Among women with oncogenic HPV, hormonal contraceptive use was not associated with an increased risk of CIN2-3 or greater. Longer-term DMPA use may attenuate the colposcopic and histologic features of CIN because women reporting such use were more likely than others to have cervical oncogenic HPV without evidence of CIN.","author":[{"dropping-particle":"","family":"Harris","given":"Tiffany G","non-dropping-particle":"","parse-names":false,"suffix":""},{"dropping-particle":"","family":"Miller","given":"Leslie","non-dropping-particle":"","parse-names":false,"suffix":""},{"dropping-particle":"","family":"Kulasingam","given":"Shalini L","non-dropping-particle":"","parse-names":false,"suffix":""},{"dropping-particle":"","family":"Feng","given":"Qinghua","non-dropping-particle":"","parse-names":false,"suffix":""},{"dropping-particle":"","family":"Kiviat","given":"Nancy B","non-dropping-particle":"","parse-names":false,"suffix":""},{"dropping-particle":"","family":"Schwartz","given":"Stephen M","non-dropping-particle":"","parse-names":false,"suffix":""},{"dropping-particle":"","family":"Koutsky","given":"Laura A","non-dropping-particle":"","parse-names":false,"suffix":""}],"container-title":"American Journal of Obstetrics and Gynecology","id":"ITEM-1","issue":"5","issued":{"date-parts":[["2009"]]},"page":"489.e1-8","title":"Depot-medroxyprogesterone acetate and combined oral contraceptive use and cervical neoplasia among women with oncogenic human papillomavirus infection.","type":"article-journal","volume":"200"},"uris":["http://www.mendeley.com/documents/?uuid=4f19ad02-fb6d-3d24-a5c9-ea37dcf20222"]}],"mendeley":{"formattedCitation":"[36]","plainTextFormattedCitation":"[36]","previouslyFormattedCitation":"[36]"},"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[36]</w:t>
            </w:r>
            <w:r>
              <w:rPr>
                <w:rFonts w:asciiTheme="minorHAnsi" w:hAnsiTheme="minorHAnsi" w:cstheme="minorHAnsi"/>
                <w:sz w:val="20"/>
                <w:szCs w:val="18"/>
              </w:rPr>
              <w:fldChar w:fldCharType="end"/>
            </w:r>
          </w:p>
        </w:tc>
        <w:tc>
          <w:tcPr>
            <w:tcW w:w="1135"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83"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244"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3"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295"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38"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247" w:type="dxa"/>
          </w:tcPr>
          <w:p w:rsidR="00713225" w:rsidRPr="00EE2286" w:rsidRDefault="00713225" w:rsidP="00DA791E">
            <w:pPr>
              <w:rPr>
                <w:rFonts w:asciiTheme="minorHAnsi" w:hAnsiTheme="minorHAnsi" w:cstheme="minorHAnsi"/>
                <w:sz w:val="20"/>
                <w:szCs w:val="18"/>
              </w:rPr>
            </w:pPr>
            <w:r w:rsidRPr="00EE2286">
              <w:rPr>
                <w:rFonts w:asciiTheme="minorHAnsi" w:hAnsiTheme="minorHAnsi" w:cstheme="minorHAnsi"/>
                <w:b/>
                <w:sz w:val="20"/>
                <w:szCs w:val="18"/>
              </w:rPr>
              <w:t xml:space="preserve">7 </w:t>
            </w:r>
            <w:r w:rsidRPr="00EE2286">
              <w:rPr>
                <w:rFonts w:asciiTheme="minorHAnsi" w:hAnsiTheme="minorHAnsi" w:cstheme="minorHAnsi"/>
                <w:sz w:val="20"/>
                <w:szCs w:val="18"/>
              </w:rPr>
              <w:t>(Medium)</w:t>
            </w:r>
          </w:p>
        </w:tc>
      </w:tr>
    </w:tbl>
    <w:p w:rsidR="00713225" w:rsidRDefault="00713225" w:rsidP="00713225">
      <w:pPr>
        <w:widowControl w:val="0"/>
        <w:autoSpaceDE w:val="0"/>
        <w:autoSpaceDN w:val="0"/>
        <w:adjustRightInd w:val="0"/>
        <w:rPr>
          <w:rFonts w:asciiTheme="minorHAnsi" w:hAnsiTheme="minorHAnsi" w:cstheme="minorHAnsi"/>
          <w:sz w:val="20"/>
          <w:szCs w:val="18"/>
        </w:rPr>
      </w:pPr>
      <w:r>
        <w:rPr>
          <w:rFonts w:asciiTheme="minorHAnsi" w:hAnsiTheme="minorHAnsi" w:cstheme="minorHAnsi"/>
          <w:sz w:val="20"/>
          <w:szCs w:val="18"/>
        </w:rPr>
        <w:t xml:space="preserve">Rating criteria: </w:t>
      </w:r>
      <w:r>
        <w:rPr>
          <w:rFonts w:asciiTheme="minorHAnsi" w:hAnsiTheme="minorHAnsi" w:cstheme="minorHAnsi"/>
          <w:i/>
          <w:sz w:val="20"/>
          <w:szCs w:val="18"/>
        </w:rPr>
        <w:t xml:space="preserve">STI definition accurate: </w:t>
      </w:r>
      <w:r>
        <w:rPr>
          <w:rFonts w:asciiTheme="minorHAnsi" w:hAnsiTheme="minorHAnsi" w:cstheme="minorHAnsi"/>
          <w:sz w:val="20"/>
          <w:szCs w:val="18"/>
        </w:rPr>
        <w:t xml:space="preserve">separate estimates for different types of STIs provided using test for pathogen (1 point); </w:t>
      </w:r>
      <w:r>
        <w:rPr>
          <w:rFonts w:asciiTheme="minorHAnsi" w:hAnsiTheme="minorHAnsi" w:cstheme="minorHAnsi"/>
          <w:i/>
          <w:sz w:val="20"/>
          <w:szCs w:val="18"/>
        </w:rPr>
        <w:t>Representation of cases</w:t>
      </w:r>
      <w:r>
        <w:rPr>
          <w:rFonts w:asciiTheme="minorHAnsi" w:hAnsiTheme="minorHAnsi" w:cstheme="minorHAnsi"/>
          <w:sz w:val="20"/>
          <w:szCs w:val="18"/>
        </w:rPr>
        <w:t xml:space="preserve">: consecutive or obviously representative series of cases; </w:t>
      </w:r>
      <w:r>
        <w:rPr>
          <w:rFonts w:asciiTheme="minorHAnsi" w:hAnsiTheme="minorHAnsi" w:cstheme="minorHAnsi"/>
          <w:i/>
          <w:sz w:val="20"/>
          <w:szCs w:val="18"/>
        </w:rPr>
        <w:t xml:space="preserve">Control selection &amp; definition: </w:t>
      </w:r>
      <w:r>
        <w:rPr>
          <w:rFonts w:asciiTheme="minorHAnsi" w:hAnsiTheme="minorHAnsi" w:cstheme="minorHAnsi"/>
          <w:sz w:val="20"/>
          <w:szCs w:val="18"/>
        </w:rPr>
        <w:t xml:space="preserve">a) controls are sampled independent of HC use and from same source </w:t>
      </w:r>
      <w:r w:rsidRPr="00D745CE">
        <w:rPr>
          <w:rFonts w:asciiTheme="minorHAnsi" w:hAnsiTheme="minorHAnsi" w:cstheme="minorHAnsi"/>
          <w:sz w:val="20"/>
          <w:szCs w:val="18"/>
        </w:rPr>
        <w:t>population of cases (1 point); b) if cases are first occurrence of outcome, then controls stated to have no history of outcome. If cases have new (not necessarily first) occurrence of outcome, then controls with previous occurrences of outcome of interest are not excluded (1 p</w:t>
      </w:r>
      <w:r>
        <w:rPr>
          <w:rFonts w:asciiTheme="minorHAnsi" w:hAnsiTheme="minorHAnsi" w:cstheme="minorHAnsi"/>
          <w:sz w:val="20"/>
          <w:szCs w:val="18"/>
        </w:rPr>
        <w:t xml:space="preserve">oint); </w:t>
      </w:r>
      <w:r>
        <w:rPr>
          <w:rFonts w:asciiTheme="minorHAnsi" w:hAnsiTheme="minorHAnsi" w:cstheme="minorHAnsi"/>
          <w:i/>
          <w:sz w:val="20"/>
          <w:szCs w:val="18"/>
        </w:rPr>
        <w:t>Comparability of cases and controls in design or analysis</w:t>
      </w:r>
      <w:r>
        <w:rPr>
          <w:rFonts w:asciiTheme="minorHAnsi" w:hAnsiTheme="minorHAnsi" w:cstheme="minorHAnsi"/>
          <w:sz w:val="20"/>
          <w:szCs w:val="18"/>
        </w:rPr>
        <w:t>: a)</w:t>
      </w:r>
      <w:r w:rsidRPr="007E78F8">
        <w:rPr>
          <w:rFonts w:asciiTheme="minorHAnsi" w:hAnsiTheme="minorHAnsi" w:cstheme="minorHAnsi"/>
          <w:sz w:val="20"/>
          <w:szCs w:val="18"/>
        </w:rPr>
        <w:t xml:space="preserve"> </w:t>
      </w:r>
      <w:r>
        <w:rPr>
          <w:rFonts w:asciiTheme="minorHAnsi" w:hAnsiTheme="minorHAnsi" w:cstheme="minorHAnsi"/>
          <w:sz w:val="20"/>
          <w:szCs w:val="18"/>
        </w:rPr>
        <w:t xml:space="preserve">adjusted analyses are performed (1 point); b) study controls for condom use or negligible differences reported in adjusted in unadjusted models (1 point);  </w:t>
      </w:r>
      <w:r>
        <w:rPr>
          <w:rFonts w:asciiTheme="minorHAnsi" w:hAnsiTheme="minorHAnsi" w:cstheme="minorHAnsi"/>
          <w:i/>
          <w:sz w:val="20"/>
          <w:szCs w:val="18"/>
        </w:rPr>
        <w:t xml:space="preserve">Ascertainment of HC: </w:t>
      </w:r>
      <w:r>
        <w:rPr>
          <w:rFonts w:asciiTheme="minorHAnsi" w:hAnsiTheme="minorHAnsi" w:cstheme="minorHAnsi"/>
          <w:sz w:val="20"/>
          <w:szCs w:val="18"/>
        </w:rPr>
        <w:t xml:space="preserve"> a) separated estimates for different types of HCs (1 point); b) HC use is assessed more than once at intervals &lt;6 months (1 point); c) HC ascertainment is through structured interview blind to case-control status (1 point); </w:t>
      </w:r>
      <w:r>
        <w:rPr>
          <w:rFonts w:asciiTheme="minorHAnsi" w:hAnsiTheme="minorHAnsi" w:cstheme="minorHAnsi"/>
          <w:i/>
          <w:sz w:val="20"/>
          <w:szCs w:val="18"/>
        </w:rPr>
        <w:t xml:space="preserve">Same ascertainment method for cases and controls: </w:t>
      </w:r>
      <w:r>
        <w:rPr>
          <w:rFonts w:asciiTheme="minorHAnsi" w:hAnsiTheme="minorHAnsi" w:cstheme="minorHAnsi"/>
          <w:sz w:val="20"/>
          <w:szCs w:val="18"/>
        </w:rPr>
        <w:t xml:space="preserve">yes or no (1 point); </w:t>
      </w:r>
      <w:r>
        <w:rPr>
          <w:rFonts w:asciiTheme="minorHAnsi" w:hAnsiTheme="minorHAnsi" w:cstheme="minorHAnsi"/>
          <w:i/>
          <w:sz w:val="20"/>
          <w:szCs w:val="18"/>
        </w:rPr>
        <w:t xml:space="preserve">Comparable non-response rate: </w:t>
      </w:r>
      <w:r>
        <w:rPr>
          <w:rFonts w:asciiTheme="minorHAnsi" w:hAnsiTheme="minorHAnsi" w:cstheme="minorHAnsi"/>
          <w:sz w:val="20"/>
          <w:szCs w:val="18"/>
        </w:rPr>
        <w:t>equivalent rate demonstrated for both groups (1 point).</w:t>
      </w:r>
    </w:p>
    <w:p w:rsidR="002C0CD8" w:rsidRDefault="002C0CD8">
      <w:bookmarkStart w:id="0" w:name="_GoBack"/>
      <w:bookmarkEnd w:id="0"/>
    </w:p>
    <w:sectPr w:rsidR="002C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25"/>
    <w:rsid w:val="002C0CD8"/>
    <w:rsid w:val="007132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2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225"/>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2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225"/>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Moncada</dc:creator>
  <cp:lastModifiedBy>Jeanne Moncada</cp:lastModifiedBy>
  <cp:revision>1</cp:revision>
  <dcterms:created xsi:type="dcterms:W3CDTF">2019-01-04T14:32:00Z</dcterms:created>
  <dcterms:modified xsi:type="dcterms:W3CDTF">2019-01-04T14:32:00Z</dcterms:modified>
</cp:coreProperties>
</file>