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A6" w:rsidRPr="00F958A6" w:rsidRDefault="001E18A6" w:rsidP="001E18A6">
      <w:pPr>
        <w:rPr>
          <w:rFonts w:ascii="Arial" w:hAnsi="Arial" w:cs="Arial"/>
          <w:b/>
          <w:sz w:val="20"/>
          <w:szCs w:val="20"/>
        </w:rPr>
      </w:pPr>
      <w:r w:rsidRPr="00A47043">
        <w:rPr>
          <w:rFonts w:ascii="Arial" w:hAnsi="Arial" w:cs="Arial"/>
          <w:b/>
          <w:sz w:val="20"/>
          <w:szCs w:val="20"/>
        </w:rPr>
        <w:t xml:space="preserve">Table </w:t>
      </w:r>
      <w:r>
        <w:rPr>
          <w:rFonts w:ascii="Arial" w:hAnsi="Arial" w:cs="Arial"/>
          <w:b/>
          <w:sz w:val="20"/>
          <w:szCs w:val="20"/>
        </w:rPr>
        <w:t>4</w:t>
      </w:r>
      <w:r w:rsidRPr="00A47043">
        <w:rPr>
          <w:rFonts w:ascii="Arial" w:hAnsi="Arial" w:cs="Arial"/>
          <w:b/>
          <w:sz w:val="20"/>
          <w:szCs w:val="20"/>
        </w:rPr>
        <w:t>. Prospective associations between hormonal contraceptive use and Human Papillomavirus (HPV) (N=1</w:t>
      </w:r>
      <w:r>
        <w:rPr>
          <w:rFonts w:ascii="Arial" w:hAnsi="Arial" w:cs="Arial"/>
          <w:b/>
          <w:sz w:val="20"/>
          <w:szCs w:val="20"/>
        </w:rPr>
        <w:t>3</w:t>
      </w:r>
      <w:r w:rsidRPr="00A47043">
        <w:rPr>
          <w:rFonts w:ascii="Arial" w:hAnsi="Arial" w:cs="Arial"/>
          <w:b/>
          <w:sz w:val="20"/>
          <w:szCs w:val="20"/>
        </w:rPr>
        <w:t>).</w:t>
      </w:r>
    </w:p>
    <w:tbl>
      <w:tblPr>
        <w:tblStyle w:val="TableGrid"/>
        <w:tblW w:w="14125" w:type="dxa"/>
        <w:tblLook w:val="04A0" w:firstRow="1" w:lastRow="0" w:firstColumn="1" w:lastColumn="0" w:noHBand="0" w:noVBand="1"/>
      </w:tblPr>
      <w:tblGrid>
        <w:gridCol w:w="965"/>
        <w:gridCol w:w="2028"/>
        <w:gridCol w:w="1669"/>
        <w:gridCol w:w="2431"/>
        <w:gridCol w:w="1850"/>
        <w:gridCol w:w="1243"/>
        <w:gridCol w:w="1488"/>
        <w:gridCol w:w="1130"/>
        <w:gridCol w:w="1321"/>
      </w:tblGrid>
      <w:tr w:rsidR="001E18A6" w:rsidRPr="00010F3C" w:rsidTr="008410D6">
        <w:trPr>
          <w:tblHeader/>
        </w:trPr>
        <w:tc>
          <w:tcPr>
            <w:tcW w:w="965" w:type="dxa"/>
          </w:tcPr>
          <w:p w:rsidR="001E18A6" w:rsidRPr="00010F3C" w:rsidRDefault="001E18A6" w:rsidP="008410D6">
            <w:pPr>
              <w:rPr>
                <w:rFonts w:asciiTheme="minorHAnsi" w:hAnsiTheme="minorHAnsi" w:cstheme="minorHAnsi"/>
                <w:b/>
                <w:sz w:val="20"/>
                <w:szCs w:val="18"/>
              </w:rPr>
            </w:pPr>
            <w:r w:rsidRPr="00010F3C">
              <w:rPr>
                <w:rFonts w:asciiTheme="minorHAnsi" w:hAnsiTheme="minorHAnsi" w:cstheme="minorHAnsi"/>
                <w:b/>
                <w:sz w:val="20"/>
                <w:szCs w:val="18"/>
              </w:rPr>
              <w:t>Study</w:t>
            </w:r>
          </w:p>
        </w:tc>
        <w:tc>
          <w:tcPr>
            <w:tcW w:w="2028" w:type="dxa"/>
          </w:tcPr>
          <w:p w:rsidR="001E18A6" w:rsidRPr="00010F3C" w:rsidRDefault="001E18A6" w:rsidP="008410D6">
            <w:pPr>
              <w:rPr>
                <w:rFonts w:asciiTheme="minorHAnsi" w:hAnsiTheme="minorHAnsi" w:cstheme="minorHAnsi"/>
                <w:b/>
                <w:sz w:val="20"/>
                <w:szCs w:val="18"/>
              </w:rPr>
            </w:pPr>
            <w:r w:rsidRPr="00010F3C">
              <w:rPr>
                <w:rFonts w:asciiTheme="minorHAnsi" w:hAnsiTheme="minorHAnsi" w:cstheme="minorHAnsi"/>
                <w:b/>
                <w:sz w:val="20"/>
                <w:szCs w:val="18"/>
              </w:rPr>
              <w:t>N, study sample</w:t>
            </w:r>
          </w:p>
        </w:tc>
        <w:tc>
          <w:tcPr>
            <w:tcW w:w="1669" w:type="dxa"/>
          </w:tcPr>
          <w:p w:rsidR="001E18A6" w:rsidRPr="00010F3C" w:rsidRDefault="001E18A6" w:rsidP="008410D6">
            <w:pPr>
              <w:rPr>
                <w:rFonts w:asciiTheme="minorHAnsi" w:hAnsiTheme="minorHAnsi" w:cstheme="minorHAnsi"/>
                <w:b/>
                <w:sz w:val="20"/>
                <w:szCs w:val="18"/>
              </w:rPr>
            </w:pPr>
            <w:r w:rsidRPr="00010F3C">
              <w:rPr>
                <w:rFonts w:asciiTheme="minorHAnsi" w:hAnsiTheme="minorHAnsi" w:cstheme="minorHAnsi"/>
                <w:b/>
                <w:sz w:val="20"/>
                <w:szCs w:val="18"/>
              </w:rPr>
              <w:t>Length of follow-up; frequency STI assessment</w:t>
            </w:r>
          </w:p>
        </w:tc>
        <w:tc>
          <w:tcPr>
            <w:tcW w:w="2431" w:type="dxa"/>
          </w:tcPr>
          <w:p w:rsidR="001E18A6" w:rsidRPr="00010F3C" w:rsidRDefault="001E18A6" w:rsidP="008410D6">
            <w:pPr>
              <w:rPr>
                <w:rFonts w:asciiTheme="minorHAnsi" w:hAnsiTheme="minorHAnsi" w:cstheme="minorHAnsi"/>
                <w:b/>
                <w:sz w:val="20"/>
                <w:szCs w:val="18"/>
              </w:rPr>
            </w:pPr>
            <w:r w:rsidRPr="00010F3C">
              <w:rPr>
                <w:rFonts w:asciiTheme="minorHAnsi" w:hAnsiTheme="minorHAnsi" w:cstheme="minorHAnsi"/>
                <w:b/>
                <w:sz w:val="20"/>
                <w:szCs w:val="18"/>
              </w:rPr>
              <w:t>STI diagnostic test</w:t>
            </w:r>
          </w:p>
        </w:tc>
        <w:tc>
          <w:tcPr>
            <w:tcW w:w="1850" w:type="dxa"/>
          </w:tcPr>
          <w:p w:rsidR="001E18A6" w:rsidRPr="00010F3C" w:rsidRDefault="001E18A6" w:rsidP="008410D6">
            <w:pPr>
              <w:rPr>
                <w:rFonts w:asciiTheme="minorHAnsi" w:hAnsiTheme="minorHAnsi" w:cstheme="minorHAnsi"/>
                <w:b/>
                <w:sz w:val="20"/>
                <w:szCs w:val="18"/>
              </w:rPr>
            </w:pPr>
            <w:r w:rsidRPr="00010F3C">
              <w:rPr>
                <w:rFonts w:asciiTheme="minorHAnsi" w:hAnsiTheme="minorHAnsi" w:cstheme="minorHAnsi"/>
                <w:b/>
                <w:sz w:val="20"/>
                <w:szCs w:val="18"/>
              </w:rPr>
              <w:t>Covariates</w:t>
            </w:r>
          </w:p>
        </w:tc>
        <w:tc>
          <w:tcPr>
            <w:tcW w:w="1243" w:type="dxa"/>
          </w:tcPr>
          <w:p w:rsidR="001E18A6" w:rsidRPr="00010F3C" w:rsidRDefault="001E18A6" w:rsidP="008410D6">
            <w:pPr>
              <w:rPr>
                <w:rFonts w:asciiTheme="minorHAnsi" w:hAnsiTheme="minorHAnsi" w:cstheme="minorHAnsi"/>
                <w:b/>
                <w:sz w:val="20"/>
                <w:szCs w:val="18"/>
              </w:rPr>
            </w:pPr>
            <w:r w:rsidRPr="00010F3C">
              <w:rPr>
                <w:rFonts w:asciiTheme="minorHAnsi" w:hAnsiTheme="minorHAnsi" w:cstheme="minorHAnsi"/>
                <w:b/>
                <w:sz w:val="20"/>
                <w:szCs w:val="18"/>
              </w:rPr>
              <w:t>Reference Group</w:t>
            </w:r>
          </w:p>
        </w:tc>
        <w:tc>
          <w:tcPr>
            <w:tcW w:w="1488" w:type="dxa"/>
          </w:tcPr>
          <w:p w:rsidR="001E18A6" w:rsidRPr="00010F3C" w:rsidRDefault="001E18A6" w:rsidP="008410D6">
            <w:pPr>
              <w:rPr>
                <w:rFonts w:asciiTheme="minorHAnsi" w:hAnsiTheme="minorHAnsi" w:cstheme="minorHAnsi"/>
                <w:b/>
                <w:sz w:val="20"/>
                <w:szCs w:val="18"/>
              </w:rPr>
            </w:pPr>
            <w:proofErr w:type="spellStart"/>
            <w:r w:rsidRPr="00010F3C">
              <w:rPr>
                <w:rFonts w:asciiTheme="minorHAnsi" w:hAnsiTheme="minorHAnsi" w:cstheme="minorHAnsi"/>
                <w:b/>
                <w:sz w:val="20"/>
                <w:szCs w:val="18"/>
              </w:rPr>
              <w:t>OC</w:t>
            </w:r>
            <w:r>
              <w:rPr>
                <w:rFonts w:asciiTheme="minorHAnsi" w:hAnsiTheme="minorHAnsi" w:cstheme="minorHAnsi"/>
                <w:b/>
                <w:sz w:val="20"/>
                <w:szCs w:val="18"/>
              </w:rPr>
              <w:t>P</w:t>
            </w:r>
            <w:r w:rsidRPr="00F77DB6">
              <w:rPr>
                <w:rFonts w:asciiTheme="minorHAnsi" w:hAnsiTheme="minorHAnsi" w:cstheme="minorHAnsi"/>
                <w:sz w:val="20"/>
                <w:szCs w:val="18"/>
                <w:vertAlign w:val="superscript"/>
              </w:rPr>
              <w:t>a</w:t>
            </w:r>
            <w:proofErr w:type="spellEnd"/>
          </w:p>
        </w:tc>
        <w:tc>
          <w:tcPr>
            <w:tcW w:w="1130" w:type="dxa"/>
          </w:tcPr>
          <w:p w:rsidR="001E18A6" w:rsidRPr="00010F3C" w:rsidRDefault="001E18A6" w:rsidP="008410D6">
            <w:pPr>
              <w:rPr>
                <w:rFonts w:asciiTheme="minorHAnsi" w:hAnsiTheme="minorHAnsi" w:cstheme="minorHAnsi"/>
                <w:b/>
                <w:sz w:val="20"/>
                <w:szCs w:val="18"/>
              </w:rPr>
            </w:pPr>
            <w:r w:rsidRPr="00010F3C">
              <w:rPr>
                <w:rFonts w:asciiTheme="minorHAnsi" w:hAnsiTheme="minorHAnsi" w:cstheme="minorHAnsi"/>
                <w:b/>
                <w:sz w:val="20"/>
                <w:szCs w:val="18"/>
              </w:rPr>
              <w:t>Injectable</w:t>
            </w:r>
          </w:p>
        </w:tc>
        <w:tc>
          <w:tcPr>
            <w:tcW w:w="1321" w:type="dxa"/>
          </w:tcPr>
          <w:p w:rsidR="001E18A6" w:rsidRPr="00010F3C" w:rsidRDefault="001E18A6" w:rsidP="008410D6">
            <w:pPr>
              <w:rPr>
                <w:rFonts w:asciiTheme="minorHAnsi" w:hAnsiTheme="minorHAnsi" w:cstheme="minorHAnsi"/>
                <w:b/>
                <w:sz w:val="20"/>
                <w:szCs w:val="18"/>
              </w:rPr>
            </w:pPr>
            <w:r w:rsidRPr="00010F3C">
              <w:rPr>
                <w:rFonts w:asciiTheme="minorHAnsi" w:hAnsiTheme="minorHAnsi" w:cstheme="minorHAnsi"/>
                <w:b/>
                <w:sz w:val="20"/>
                <w:szCs w:val="18"/>
              </w:rPr>
              <w:t>IUD or Combined HC</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proofErr w:type="spellStart"/>
            <w:r w:rsidRPr="00010F3C">
              <w:rPr>
                <w:rFonts w:asciiTheme="minorHAnsi" w:hAnsiTheme="minorHAnsi" w:cstheme="minorHAnsi"/>
                <w:sz w:val="18"/>
                <w:szCs w:val="18"/>
              </w:rPr>
              <w:t>Borgdorff</w:t>
            </w:r>
            <w:proofErr w:type="spellEnd"/>
            <w:r w:rsidRPr="00010F3C">
              <w:rPr>
                <w:rFonts w:asciiTheme="minorHAnsi" w:hAnsiTheme="minorHAnsi" w:cstheme="minorHAnsi"/>
                <w:sz w:val="18"/>
                <w:szCs w:val="18"/>
              </w:rPr>
              <w:t>, 2015</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{"citationItems":[{"id":"ITEM-1","itemData":{"DOI":"10.1097/OLQ.0000000000000245","ISSN":"0148-5717","PMID":"25668647","abstract":"BACKGROUND The observed association between Depo-Provera injectable use and increased HIV acquisition may be caused by hormone-induced increased susceptibility to other sexually transmitted infections (STIs) or changes in the cervicovaginal microbiota (VMB), accompanied by genital immune activation and/or mucosal remodeling. METHODS Rwandan female sex workers (n = 800) were interviewed about contraceptive use and sexual behavior and were tested for STIs, bacterial vaginosis by Nugent score and pregnancy, at baseline. A subset of 397 HIV-negative, nonpregnant women were interviewed and tested again at regular intervals for 2 years. The VMB of a subset of 174 women was characterized by phylogenetic microarray. Outcomes of STI and VMB were compared between women with hormonal exposures (reporting oral contraceptive or injectable use, or testing positive for pregnancy) and controls (not reporting hormonal contraception and not pregnant). RESULTS Oral contraceptive use was associated with increased human papillomavirus prevalence (adjusted odds ratio [aOR], 3.10; 1.21-7.94) and Chlamydia trachomatis incidence (aOR, 6.13; 1.58-23.80), injectable use with increased herpes simplex virus-2 prevalence (aOR, 2.13; 1.26-3.59) and pregnancy with lower HIV prevalence (aOR, 0.45; 0.22-0.92) but higher candidiasis incidence (aOR, 2.14; 1.12-4.09). Hormonal status was not associated with Nugent score category or phylogenetic VMB clustering, but oral contraceptive users had lower semiquantitative vaginal abundance of Prevotella, Sneathia/Leptotrichia amnionii, and Mycoplasma species. CONCLUSIONS Oral contraceptive and injectable use were associated with several STIs but not with VMB composition. The increased herpes simplex virus-2 prevalence among injectable users might explain the potentially higher HIV risk in these women, but more research is needed to confirm these results and elucidate biological mechanisms.","author":[{"dropping-particle":"","family":"Borgdorff","given":"Hanneke","non-dropping-particle":"","parse-names":false,"suffix":""},{"dropping-particle":"","family":"Verwijs","given":"Marijn C.","non-dropping-particle":"","parse-names":false,"suffix":""},{"dropping-particle":"","family":"Wit","given":"Ferdinand W.N.M.","non-dropping-particle":"","parse-names":false,"suffix":""},{"dropping-particle":"","family":"Tsivtsivadze","given":"Evgeni","non-dropping-particle":"","parse-names":false,"suffix":""},{"dropping-particle":"","family":"Ndayisaba","given":"Gilles F.","non-dropping-particle":"","parse-names":false,"suffix":""},{"dropping-particle":"","family":"Verhelst","given":"Rita","non-dropping-particle":"","parse-names":false,"suffix":""},{"dropping-particle":"","family":"Schuren","given":"Frank H.","non-dropping-particle":"","parse-names":false,"suffix":""},{"dropping-particle":"","family":"Wijgert","given":"Janneke H.H.M.","non-dropping-particle":"van de","parse-names":false,"suffix":""}],"container-title":"Sexually Transmitted Diseases","id":"ITEM-1","issue":"3","issued":{"date-parts":[["2015","3"]]},"page":"143-152","title":"The impact of hormonal contraception and pregnancy on sexually transmitted infections and on cervicovaginal microbiota in African sex workers","type":"article-journal","volume":"42"},"uris":["http://www.mendeley.com/documents/?uuid=7085ed09-1392-3a2e-8bf7-46c4f1b4e68f"]}],"mendeley":{"formattedCitation":"[37]","plainTextFormattedCitation":"[37]","previouslyFormattedCitation":"[37]"},"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[37]</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 xml:space="preserve">166, HIV negative sex workers in Kigali Rwanda ages 18-49; </w:t>
            </w:r>
            <w:r w:rsidRPr="00010F3C">
              <w:rPr>
                <w:rFonts w:asciiTheme="minorHAnsi" w:hAnsiTheme="minorHAnsi" w:cstheme="minorHAnsi"/>
                <w:i/>
                <w:sz w:val="18"/>
                <w:szCs w:val="18"/>
              </w:rPr>
              <w:t>N=47 incident HPV (any type) cases</w:t>
            </w:r>
          </w:p>
        </w:tc>
        <w:tc>
          <w:tcPr>
            <w:tcW w:w="1669"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24M; 0M, 6M, 24M</w:t>
            </w:r>
          </w:p>
        </w:tc>
        <w:tc>
          <w:tcPr>
            <w:tcW w:w="2431" w:type="dxa"/>
          </w:tcPr>
          <w:p w:rsidR="001E18A6" w:rsidRDefault="001E18A6" w:rsidP="008410D6">
            <w:pPr>
              <w:rPr>
                <w:rFonts w:asciiTheme="minorHAnsi" w:hAnsiTheme="minorHAnsi" w:cstheme="minorHAnsi"/>
                <w:sz w:val="18"/>
                <w:szCs w:val="18"/>
              </w:rPr>
            </w:pPr>
            <w:r>
              <w:rPr>
                <w:rFonts w:asciiTheme="minorHAnsi" w:hAnsiTheme="minorHAnsi" w:cstheme="minorHAnsi"/>
                <w:sz w:val="18"/>
                <w:szCs w:val="18"/>
              </w:rPr>
              <w:t xml:space="preserve">Linear Array </w:t>
            </w:r>
            <w:r w:rsidRPr="00010F3C">
              <w:rPr>
                <w:rFonts w:asciiTheme="minorHAnsi" w:hAnsiTheme="minorHAnsi" w:cstheme="minorHAnsi"/>
                <w:sz w:val="18"/>
                <w:szCs w:val="18"/>
              </w:rPr>
              <w:t>HPV genotyping test (Roche)</w:t>
            </w:r>
          </w:p>
          <w:p w:rsidR="001E18A6" w:rsidRDefault="001E18A6" w:rsidP="008410D6">
            <w:pPr>
              <w:rPr>
                <w:rFonts w:asciiTheme="minorHAnsi" w:hAnsiTheme="minorHAnsi" w:cstheme="minorHAnsi"/>
                <w:sz w:val="18"/>
                <w:szCs w:val="18"/>
              </w:rPr>
            </w:pPr>
          </w:p>
          <w:p w:rsidR="001E18A6" w:rsidRDefault="001E18A6" w:rsidP="008410D6">
            <w:pPr>
              <w:rPr>
                <w:rFonts w:asciiTheme="minorHAnsi" w:hAnsiTheme="minorHAnsi" w:cstheme="minorHAnsi"/>
                <w:sz w:val="18"/>
                <w:szCs w:val="18"/>
              </w:rPr>
            </w:pPr>
          </w:p>
          <w:p w:rsidR="001E18A6" w:rsidRPr="00010F3C" w:rsidRDefault="001E18A6" w:rsidP="008410D6">
            <w:pPr>
              <w:rPr>
                <w:rFonts w:asciiTheme="minorHAnsi" w:hAnsiTheme="minorHAnsi" w:cstheme="minorHAnsi"/>
                <w:sz w:val="18"/>
                <w:szCs w:val="18"/>
              </w:rPr>
            </w:pPr>
          </w:p>
        </w:tc>
        <w:tc>
          <w:tcPr>
            <w:tcW w:w="185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Age, education, years worked as sex worker, breast-feeding, consistent condom use, antibiotic use past 14 d, ever used antibiotics, time between assessments</w:t>
            </w:r>
          </w:p>
        </w:tc>
        <w:tc>
          <w:tcPr>
            <w:tcW w:w="1243"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Non-pregnant non-</w:t>
            </w:r>
            <w:r>
              <w:rPr>
                <w:rFonts w:asciiTheme="minorHAnsi" w:hAnsiTheme="minorHAnsi" w:cstheme="minorHAnsi"/>
                <w:sz w:val="18"/>
                <w:szCs w:val="18"/>
              </w:rPr>
              <w:t>hormonal user</w:t>
            </w:r>
          </w:p>
        </w:tc>
        <w:tc>
          <w:tcPr>
            <w:tcW w:w="148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u w:val="single"/>
              </w:rPr>
              <w:t>OC</w:t>
            </w:r>
            <w:r>
              <w:rPr>
                <w:rFonts w:asciiTheme="minorHAnsi" w:hAnsiTheme="minorHAnsi" w:cstheme="minorHAnsi"/>
                <w:sz w:val="18"/>
                <w:szCs w:val="18"/>
                <w:u w:val="single"/>
              </w:rPr>
              <w:t>P</w:t>
            </w:r>
            <w:r w:rsidRPr="00010F3C">
              <w:rPr>
                <w:rFonts w:asciiTheme="minorHAnsi" w:hAnsiTheme="minorHAnsi" w:cstheme="minorHAnsi"/>
                <w:sz w:val="18"/>
                <w:szCs w:val="18"/>
                <w:u w:val="single"/>
              </w:rPr>
              <w:t xml:space="preserve"> on HPV (any type)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1.08 (0.21, 5.44)</w:t>
            </w:r>
          </w:p>
        </w:tc>
        <w:tc>
          <w:tcPr>
            <w:tcW w:w="113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u w:val="single"/>
              </w:rPr>
              <w:t xml:space="preserve">HPV (any type) </w:t>
            </w:r>
            <w:r w:rsidRPr="00010F3C">
              <w:rPr>
                <w:rFonts w:asciiTheme="minorHAnsi" w:hAnsiTheme="minorHAnsi" w:cstheme="minorHAnsi"/>
                <w:sz w:val="18"/>
                <w:szCs w:val="18"/>
              </w:rPr>
              <w:t>Injectable (</w:t>
            </w:r>
            <w:r>
              <w:rPr>
                <w:rFonts w:asciiTheme="minorHAnsi" w:hAnsiTheme="minorHAnsi" w:cstheme="minorHAnsi"/>
                <w:sz w:val="18"/>
                <w:szCs w:val="18"/>
              </w:rPr>
              <w:t xml:space="preserve">any </w:t>
            </w:r>
            <w:proofErr w:type="spellStart"/>
            <w:r>
              <w:rPr>
                <w:rFonts w:asciiTheme="minorHAnsi" w:hAnsiTheme="minorHAnsi" w:cstheme="minorHAnsi"/>
                <w:sz w:val="18"/>
                <w:szCs w:val="18"/>
              </w:rPr>
              <w:t>type</w:t>
            </w:r>
            <w:r>
              <w:rPr>
                <w:rFonts w:asciiTheme="minorHAnsi" w:hAnsiTheme="minorHAnsi" w:cstheme="minorHAnsi"/>
                <w:sz w:val="18"/>
                <w:szCs w:val="18"/>
                <w:vertAlign w:val="superscript"/>
              </w:rPr>
              <w:t>b</w:t>
            </w:r>
            <w:proofErr w:type="spellEnd"/>
            <w:r w:rsidRPr="00010F3C">
              <w:rPr>
                <w:rFonts w:asciiTheme="minorHAnsi" w:hAnsiTheme="minorHAnsi" w:cstheme="minorHAnsi"/>
                <w:sz w:val="18"/>
                <w:szCs w:val="18"/>
              </w:rPr>
              <w:t xml:space="preserve">)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0.79 (0.34, 1.83)</w:t>
            </w:r>
          </w:p>
        </w:tc>
        <w:tc>
          <w:tcPr>
            <w:tcW w:w="1321"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Harris,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{"citationItems":[{"id":"ITEM-1","itemData":{"DOI":"10.1016/j.ajog.2009.01.030","ISSN":"1097-6868","PMID":"19375566","abstract":"OBJECTIVE The objective of the study was to examine the relationship of depot-medroxyprogesterone acetate (DMPA) and combined oral contraceptive (COC) use with cervical intraepithelial neoplasia (CIN). STUDY DESIGN Two case-control studies of women who presented for gynecologic care and underwent cytologic and human papillomavirus (HPV) testing were performed. The first included oncogenic HPV-positive women grouped based on histology: negative (n = 152), CIN1 (n = 133), and CIN2-3 or greater (n = 173). For the second, 2 groups were identified: negative HPV/negative histology (n = 107) and positive oncogenic HPV/negative histology (n = 152). RESULTS Among oncogenic HPV-positive women, DMPA use was inversely associated with CIN2-3 or greater (adjusted odds ratio [OR(adj)], 0.4; 95% confidence interval [CI], 0.2-1.1) and CIN1 (OR(adj), 0.1; 95% CI, 0.01-0.6); COC use was not associated with either. Among histologically negative women, DMPA use was associated with oncogenic HPV (OR(adj), 4.7; 95% CI, 1.4-15.8). CONCLUSION Among women with oncogenic HPV, hormonal contraceptive use was not associated with an increased risk of CIN2-3 or greater. Longer-term DMPA use may attenuate the colposcopic and histologic features of CIN because women reporting such use were more likely than others to have cervical oncogenic HPV without evidence of CIN.","author":[{"dropping-particle":"","family":"Harris","given":"Tiffany G","non-dropping-particle":"","parse-names":false,"suffix":""},{"dropping-particle":"","family":"Miller","given":"Leslie","non-dropping-particle":"","parse-names":false,"suffix":""},{"dropping-particle":"","family":"Kulasingam","given":"Shalini L","non-dropping-particle":"","parse-names":false,"suffix":""},{"dropping-particle":"","family":"Feng","given":"Qinghua","non-dropping-particle":"","parse-names":false,"suffix":""},{"dropping-particle":"","family":"Kiviat","given":"Nancy B","non-dropping-particle":"","parse-names":false,"suffix":""},{"dropping-particle":"","family":"Schwartz","given":"Stephen M","non-dropping-particle":"","parse-names":false,"suffix":""},{"dropping-particle":"","family":"Koutsky","given":"Laura A","non-dropping-particle":"","parse-names":false,"suffix":""}],"container-title":"American Journal of Obstetrics and Gynecology","id":"ITEM-1","issue":"5","issued":{"date-parts":[["2009"]]},"page":"489.e1-8","title":"Depot-medroxyprogesterone acetate and combined oral contraceptive use and cervical neoplasia among women with oncogenic human papillomavirus infection.","type":"article-journal","volume":"200"},"uris":["http://www.mendeley.com/documents/?uuid=4f19ad02-fb6d-3d24-a5c9-ea37dcf20222"]}],"mendeley":{"formattedCitation":"[36]","plainTextFormattedCitation":"[36]","previouslyFormattedCitation":"[36]"},"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[36]</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 xml:space="preserve">257, HIV negative women with no history of cervical neoplasia in the United States seeking routine care at family planning clinics, ages 18-50; </w:t>
            </w:r>
            <w:r w:rsidRPr="00010F3C">
              <w:rPr>
                <w:rFonts w:asciiTheme="minorHAnsi" w:hAnsiTheme="minorHAnsi" w:cstheme="minorHAnsi"/>
                <w:i/>
                <w:sz w:val="18"/>
                <w:szCs w:val="18"/>
              </w:rPr>
              <w:t xml:space="preserve">N=152 cases, N=107 </w:t>
            </w:r>
            <w:proofErr w:type="spellStart"/>
            <w:r w:rsidRPr="00010F3C">
              <w:rPr>
                <w:rFonts w:asciiTheme="minorHAnsi" w:hAnsiTheme="minorHAnsi" w:cstheme="minorHAnsi"/>
                <w:i/>
                <w:sz w:val="18"/>
                <w:szCs w:val="18"/>
              </w:rPr>
              <w:t>controls</w:t>
            </w:r>
            <w:r>
              <w:rPr>
                <w:rFonts w:asciiTheme="minorHAnsi" w:hAnsiTheme="minorHAnsi" w:cstheme="minorHAnsi"/>
                <w:i/>
                <w:sz w:val="18"/>
                <w:szCs w:val="18"/>
                <w:vertAlign w:val="superscript"/>
              </w:rPr>
              <w:t>c</w:t>
            </w:r>
            <w:proofErr w:type="spellEnd"/>
          </w:p>
        </w:tc>
        <w:tc>
          <w:tcPr>
            <w:tcW w:w="1669"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Median follow-up: 60D; 0M, and colposcopy biopsy visit</w:t>
            </w:r>
          </w:p>
        </w:tc>
        <w:tc>
          <w:tcPr>
            <w:tcW w:w="2431" w:type="dxa"/>
          </w:tcPr>
          <w:p w:rsidR="001E18A6"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 xml:space="preserve">PCR amplification, line blot assay </w:t>
            </w:r>
            <w:r>
              <w:rPr>
                <w:rFonts w:asciiTheme="minorHAnsi" w:hAnsiTheme="minorHAnsi" w:cstheme="minorHAnsi"/>
                <w:sz w:val="18"/>
                <w:szCs w:val="18"/>
              </w:rPr>
              <w:t xml:space="preserve">(Roche) </w:t>
            </w:r>
            <w:r w:rsidRPr="00010F3C">
              <w:rPr>
                <w:rFonts w:asciiTheme="minorHAnsi" w:hAnsiTheme="minorHAnsi" w:cstheme="minorHAnsi"/>
                <w:sz w:val="18"/>
                <w:szCs w:val="18"/>
              </w:rPr>
              <w:t>and histology assessment</w:t>
            </w:r>
            <w:r>
              <w:rPr>
                <w:rFonts w:asciiTheme="minorHAnsi" w:hAnsiTheme="minorHAnsi" w:cstheme="minorHAnsi"/>
                <w:sz w:val="18"/>
                <w:szCs w:val="18"/>
              </w:rPr>
              <w:t xml:space="preserve"> </w:t>
            </w:r>
          </w:p>
        </w:tc>
        <w:tc>
          <w:tcPr>
            <w:tcW w:w="185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 xml:space="preserve">Age at colposcopy-biopsy, lifetime number of male partners, and parity </w:t>
            </w:r>
          </w:p>
        </w:tc>
        <w:tc>
          <w:tcPr>
            <w:tcW w:w="1243"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u w:val="single"/>
              </w:rPr>
              <w:t>Cases:</w:t>
            </w:r>
            <w:r w:rsidRPr="00010F3C">
              <w:rPr>
                <w:rFonts w:asciiTheme="minorHAnsi" w:hAnsiTheme="minorHAnsi" w:cstheme="minorHAnsi"/>
                <w:sz w:val="18"/>
                <w:szCs w:val="18"/>
              </w:rPr>
              <w:t xml:space="preserve"> women with positive oncogenic HPV type; </w:t>
            </w:r>
            <w:r w:rsidRPr="00010F3C">
              <w:rPr>
                <w:rFonts w:asciiTheme="minorHAnsi" w:hAnsiTheme="minorHAnsi" w:cstheme="minorHAnsi"/>
                <w:sz w:val="18"/>
                <w:szCs w:val="18"/>
                <w:u w:val="single"/>
              </w:rPr>
              <w:t>Controls</w:t>
            </w:r>
            <w:r w:rsidRPr="00010F3C">
              <w:rPr>
                <w:rFonts w:asciiTheme="minorHAnsi" w:hAnsiTheme="minorHAnsi" w:cstheme="minorHAnsi"/>
                <w:sz w:val="18"/>
                <w:szCs w:val="18"/>
              </w:rPr>
              <w:t xml:space="preserve">: HPV-negative women with negative histology and cytology at both visits: </w:t>
            </w:r>
            <w:r w:rsidRPr="00010F3C">
              <w:rPr>
                <w:rFonts w:asciiTheme="minorHAnsi" w:hAnsiTheme="minorHAnsi" w:cstheme="minorHAnsi"/>
                <w:sz w:val="18"/>
                <w:szCs w:val="18"/>
                <w:u w:val="single"/>
              </w:rPr>
              <w:t>HC reference group</w:t>
            </w:r>
            <w:r w:rsidRPr="00010F3C">
              <w:rPr>
                <w:rFonts w:asciiTheme="minorHAnsi" w:hAnsiTheme="minorHAnsi" w:cstheme="minorHAnsi"/>
                <w:sz w:val="18"/>
                <w:szCs w:val="18"/>
              </w:rPr>
              <w:t xml:space="preserve">: never user of specific method  </w:t>
            </w:r>
          </w:p>
        </w:tc>
        <w:tc>
          <w:tcPr>
            <w:tcW w:w="1488" w:type="dxa"/>
          </w:tcPr>
          <w:p w:rsidR="001E18A6" w:rsidRPr="00010F3C" w:rsidRDefault="001E18A6" w:rsidP="008410D6">
            <w:pPr>
              <w:rPr>
                <w:rFonts w:asciiTheme="minorHAnsi" w:hAnsiTheme="minorHAnsi" w:cstheme="minorHAnsi"/>
                <w:sz w:val="18"/>
                <w:szCs w:val="18"/>
                <w:u w:val="single"/>
              </w:rPr>
            </w:pPr>
            <w:r w:rsidRPr="00010F3C">
              <w:rPr>
                <w:rFonts w:asciiTheme="minorHAnsi" w:hAnsiTheme="minorHAnsi" w:cstheme="minorHAnsi"/>
                <w:sz w:val="18"/>
                <w:szCs w:val="18"/>
                <w:u w:val="single"/>
              </w:rPr>
              <w:t xml:space="preserve">Oncogenic </w:t>
            </w:r>
            <w:r w:rsidRPr="003A442D">
              <w:rPr>
                <w:rFonts w:asciiTheme="minorHAnsi" w:hAnsiTheme="minorHAnsi" w:cstheme="minorHAnsi"/>
                <w:color w:val="000000" w:themeColor="text1"/>
                <w:sz w:val="18"/>
                <w:szCs w:val="18"/>
                <w:u w:val="single"/>
              </w:rPr>
              <w:t>HPV</w:t>
            </w:r>
            <w:r w:rsidRPr="003A442D">
              <w:rPr>
                <w:rFonts w:asciiTheme="minorHAnsi" w:hAnsiTheme="minorHAnsi" w:cstheme="minorHAnsi"/>
                <w:color w:val="000000" w:themeColor="text1"/>
                <w:sz w:val="18"/>
                <w:szCs w:val="18"/>
              </w:rPr>
              <w:t xml:space="preserve"> </w:t>
            </w:r>
            <w:r w:rsidRPr="003A442D">
              <w:rPr>
                <w:rFonts w:asciiTheme="minorHAnsi" w:hAnsiTheme="minorHAnsi" w:cstheme="minorHAnsi"/>
                <w:color w:val="000000" w:themeColor="text1"/>
                <w:sz w:val="18"/>
                <w:szCs w:val="18"/>
                <w:u w:val="single"/>
              </w:rPr>
              <w:t xml:space="preserve">COC </w:t>
            </w:r>
            <w:r w:rsidRPr="00010F3C">
              <w:rPr>
                <w:rFonts w:asciiTheme="minorHAnsi" w:hAnsiTheme="minorHAnsi" w:cstheme="minorHAnsi"/>
                <w:sz w:val="18"/>
                <w:szCs w:val="18"/>
                <w:u w:val="single"/>
              </w:rPr>
              <w:t>recent user</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0.6 (0.3, 1.5); </w:t>
            </w:r>
            <w:r w:rsidRPr="00010F3C">
              <w:rPr>
                <w:rFonts w:asciiTheme="minorHAnsi" w:hAnsiTheme="minorHAnsi" w:cstheme="minorHAnsi"/>
                <w:sz w:val="18"/>
                <w:szCs w:val="18"/>
                <w:u w:val="single"/>
              </w:rPr>
              <w:t xml:space="preserve">COC </w:t>
            </w:r>
            <m:oMath>
              <m:r>
                <w:rPr>
                  <w:rFonts w:ascii="Cambria Math" w:hAnsi="Cambria Math" w:cstheme="minorHAnsi"/>
                  <w:sz w:val="18"/>
                  <w:szCs w:val="18"/>
                  <w:u w:val="single"/>
                </w:rPr>
                <m:t>≥</m:t>
              </m:r>
            </m:oMath>
            <w:r w:rsidRPr="00010F3C">
              <w:rPr>
                <w:rFonts w:asciiTheme="minorHAnsi" w:hAnsiTheme="minorHAnsi" w:cstheme="minorHAnsi"/>
                <w:sz w:val="18"/>
                <w:szCs w:val="18"/>
                <w:u w:val="single"/>
              </w:rPr>
              <w:t>1Yr</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0.8 (0.3, 2.0); </w:t>
            </w:r>
            <w:r w:rsidRPr="00010F3C">
              <w:rPr>
                <w:rFonts w:asciiTheme="minorHAnsi" w:hAnsiTheme="minorHAnsi" w:cstheme="minorHAnsi"/>
                <w:sz w:val="18"/>
                <w:szCs w:val="18"/>
                <w:u w:val="single"/>
              </w:rPr>
              <w:t>&lt;1Yr</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0.5 (0.2, 1.2); </w:t>
            </w:r>
            <w:r w:rsidRPr="00010F3C">
              <w:rPr>
                <w:rFonts w:asciiTheme="minorHAnsi" w:hAnsiTheme="minorHAnsi" w:cstheme="minorHAnsi"/>
                <w:sz w:val="18"/>
                <w:szCs w:val="18"/>
                <w:u w:val="single"/>
              </w:rPr>
              <w:t xml:space="preserve">COC former user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0.9 (0.3, 2.3)</w:t>
            </w:r>
          </w:p>
        </w:tc>
        <w:tc>
          <w:tcPr>
            <w:tcW w:w="1130" w:type="dxa"/>
          </w:tcPr>
          <w:p w:rsidR="001E18A6" w:rsidRPr="00010F3C" w:rsidRDefault="001E18A6" w:rsidP="008410D6">
            <w:pPr>
              <w:rPr>
                <w:rFonts w:asciiTheme="minorHAnsi" w:hAnsiTheme="minorHAnsi" w:cstheme="minorHAnsi"/>
                <w:sz w:val="18"/>
                <w:szCs w:val="18"/>
                <w:u w:val="single"/>
              </w:rPr>
            </w:pPr>
            <w:r w:rsidRPr="00010F3C">
              <w:rPr>
                <w:rFonts w:asciiTheme="minorHAnsi" w:hAnsiTheme="minorHAnsi" w:cstheme="minorHAnsi"/>
                <w:sz w:val="18"/>
                <w:szCs w:val="18"/>
                <w:u w:val="single"/>
              </w:rPr>
              <w:t>Oncogenic HPV</w:t>
            </w:r>
            <w:r w:rsidRPr="00010F3C">
              <w:rPr>
                <w:rFonts w:asciiTheme="minorHAnsi" w:hAnsiTheme="minorHAnsi" w:cstheme="minorHAnsi"/>
                <w:sz w:val="18"/>
                <w:szCs w:val="18"/>
              </w:rPr>
              <w:t xml:space="preserve"> </w:t>
            </w:r>
            <w:r w:rsidRPr="00010F3C">
              <w:rPr>
                <w:rFonts w:asciiTheme="minorHAnsi" w:hAnsiTheme="minorHAnsi" w:cstheme="minorHAnsi"/>
                <w:sz w:val="18"/>
                <w:szCs w:val="18"/>
                <w:u w:val="single"/>
              </w:rPr>
              <w:t xml:space="preserve">DMPA recent </w:t>
            </w:r>
            <w:proofErr w:type="spellStart"/>
            <w:r w:rsidRPr="00010F3C">
              <w:rPr>
                <w:rFonts w:asciiTheme="minorHAnsi" w:hAnsiTheme="minorHAnsi" w:cstheme="minorHAnsi"/>
                <w:sz w:val="18"/>
                <w:szCs w:val="18"/>
                <w:u w:val="single"/>
              </w:rPr>
              <w:t>user</w:t>
            </w:r>
            <w:r>
              <w:rPr>
                <w:rFonts w:asciiTheme="minorHAnsi" w:hAnsiTheme="minorHAnsi" w:cstheme="minorHAnsi"/>
                <w:sz w:val="18"/>
                <w:szCs w:val="18"/>
                <w:u w:val="single"/>
                <w:vertAlign w:val="superscript"/>
              </w:rPr>
              <w:t>d</w:t>
            </w:r>
            <w:proofErr w:type="spellEnd"/>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1.6 (0.7, 3.7); </w:t>
            </w:r>
            <m:oMath>
              <m:r>
                <w:rPr>
                  <w:rFonts w:ascii="Cambria Math" w:hAnsi="Cambria Math" w:cstheme="minorHAnsi"/>
                  <w:sz w:val="18"/>
                  <w:szCs w:val="18"/>
                  <w:u w:val="single"/>
                </w:rPr>
                <m:t>≥</m:t>
              </m:r>
            </m:oMath>
            <w:r w:rsidRPr="00010F3C">
              <w:rPr>
                <w:rFonts w:asciiTheme="minorHAnsi" w:hAnsiTheme="minorHAnsi" w:cstheme="minorHAnsi"/>
                <w:sz w:val="18"/>
                <w:szCs w:val="18"/>
                <w:u w:val="single"/>
              </w:rPr>
              <w:t>1Yr DMPA</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4.7 (1.4, </w:t>
            </w:r>
            <w:proofErr w:type="gramStart"/>
            <w:r w:rsidRPr="00010F3C">
              <w:rPr>
                <w:rFonts w:asciiTheme="minorHAnsi" w:hAnsiTheme="minorHAnsi" w:cstheme="minorHAnsi"/>
                <w:sz w:val="18"/>
                <w:szCs w:val="18"/>
              </w:rPr>
              <w:t>15.8)*</w:t>
            </w:r>
            <w:proofErr w:type="gramEnd"/>
            <w:r w:rsidRPr="00010F3C">
              <w:rPr>
                <w:rFonts w:asciiTheme="minorHAnsi" w:hAnsiTheme="minorHAnsi" w:cstheme="minorHAnsi"/>
                <w:sz w:val="18"/>
                <w:szCs w:val="18"/>
              </w:rPr>
              <w:t xml:space="preserve">; </w:t>
            </w:r>
            <w:r w:rsidRPr="00010F3C">
              <w:rPr>
                <w:rFonts w:asciiTheme="minorHAnsi" w:hAnsiTheme="minorHAnsi" w:cstheme="minorHAnsi"/>
                <w:sz w:val="18"/>
                <w:szCs w:val="18"/>
                <w:u w:val="single"/>
              </w:rPr>
              <w:t>&lt;1Yr DMPA user</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0.7 (0.3, 2.1); </w:t>
            </w:r>
            <w:r w:rsidRPr="00010F3C">
              <w:rPr>
                <w:rFonts w:asciiTheme="minorHAnsi" w:hAnsiTheme="minorHAnsi" w:cstheme="minorHAnsi"/>
                <w:sz w:val="18"/>
                <w:szCs w:val="18"/>
                <w:u w:val="single"/>
              </w:rPr>
              <w:t xml:space="preserve">Former DMPA </w:t>
            </w:r>
            <w:proofErr w:type="spellStart"/>
            <w:r w:rsidRPr="00010F3C">
              <w:rPr>
                <w:rFonts w:asciiTheme="minorHAnsi" w:hAnsiTheme="minorHAnsi" w:cstheme="minorHAnsi"/>
                <w:sz w:val="18"/>
                <w:szCs w:val="18"/>
                <w:u w:val="single"/>
              </w:rPr>
              <w:t>user</w:t>
            </w:r>
            <w:r>
              <w:rPr>
                <w:rFonts w:asciiTheme="minorHAnsi" w:hAnsiTheme="minorHAnsi" w:cstheme="minorHAnsi"/>
                <w:sz w:val="18"/>
                <w:szCs w:val="18"/>
                <w:vertAlign w:val="superscript"/>
              </w:rPr>
              <w:t>d</w:t>
            </w:r>
            <w:proofErr w:type="spellEnd"/>
            <w:r>
              <w:rPr>
                <w:rFonts w:asciiTheme="minorHAnsi" w:hAnsiTheme="minorHAnsi" w:cstheme="minorHAnsi"/>
                <w:sz w:val="18"/>
                <w:szCs w:val="18"/>
                <w:vertAlign w:val="superscript"/>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1.3 (0.6, 3.1)</w:t>
            </w:r>
          </w:p>
        </w:tc>
        <w:tc>
          <w:tcPr>
            <w:tcW w:w="1321"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proofErr w:type="spellStart"/>
            <w:r w:rsidRPr="00010F3C">
              <w:rPr>
                <w:rFonts w:asciiTheme="minorHAnsi" w:hAnsiTheme="minorHAnsi" w:cstheme="minorHAnsi"/>
                <w:sz w:val="18"/>
                <w:szCs w:val="18"/>
              </w:rPr>
              <w:t>Gosvig</w:t>
            </w:r>
            <w:proofErr w:type="spellEnd"/>
            <w:r w:rsidRPr="00010F3C">
              <w:rPr>
                <w:rFonts w:asciiTheme="minorHAnsi" w:hAnsiTheme="minorHAnsi" w:cstheme="minorHAnsi"/>
                <w:sz w:val="18"/>
                <w:szCs w:val="18"/>
              </w:rPr>
              <w:t>, 2013</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{"citationItems":[{"id":"ITEM-1","itemData":{"DOI":"10.1016/j.ygyno.2013.09.002","ISSN":"00908258","PMID":"24035849","abstract":"OBJECTIVE Women with early cervical cancer or intraepithelial neoplasia grades 2 and 3 (CIN2+) are treated by conization; however, they still have a higher risk for subsequent CIN2+ than the general female population. Persistence of high-risk (HR) human papillomavirus (HPV) is a key factor in the development of CIN2+. We investigated persistence and reappearance of type-specific HR HPV infection after conization and evaluated possible co-factors. METHODS During 2002-2006, cervical swabs from 604 women were collected before conization, at 4-6 months and at 8-12 months after conization. HPV was detected by HC2 and genotyped by LiPAv2. Information on co-factors was collected through a questionnaire. Associations were assessed by multivariate logistic regression analysis. RESULTS HR HPV persistence rate was 9.5%. The α5/6 species were more likely to persist than α9 species (OR, 2.28; 95% CI, 1.11-4.70). For single infections, a doubling in viral load at enrolment increased the risk for persistence by 36% (95% CI, 1.13-1.63). In addition, margin status was associated with risk of persistence. Smoking, oral contraceptive use and severity of the cervical lesion did not significantly affect persistence. Among the HPV infections that had cleared, 2.2% reappeared. CONCLUSION Our study indicates that viral load is important in predicting HPV persistence. The α5/6 species were most likely to persist. However, most of these HPV types have a lower carcinogenic potential than the α7/α9 species and may be by-standers. Further studies are needed to assess whether pre-conization viral load can also predict subsequent CIN2+.","author":[{"dropping-particle":"","family":"Gosvig","given":"Camilla Flarup","non-dropping-particle":"","parse-names":false,"suffix":""},{"dropping-particle":"","family":"Huusom","given":"Lene Drasbek","non-dropping-particle":"","parse-names":false,"suffix":""},{"dropping-particle":"","family":"Andersen","given":"Klaus Kaae","non-dropping-particle":"","parse-names":false,"suffix":""},{"dropping-particle":"","family":"Iftner","given":"Angelika","non-dropping-particle":"","parse-names":false,"suffix":""},{"dropping-particle":"","family":"Cederkvist","given":"Luise","non-dropping-particle":"","parse-names":false,"suffix":""},{"dropping-particle":"","family":"Svare","given":"Edith","non-dropping-particle":"","parse-names":false,"suffix":""},{"dropping-particle":"","family":"Iftner","given":"Thomas","non-dropping-particle":"","parse-names":false,"suffix":""},{"dropping-particle":"","family":"Kjaer","given":"Susanne Krüger","non-dropping-particle":"","parse-names":false,"suffix":""}],"container-title":"Gynecologic Oncology","id":"ITEM-1","issue":"3","issued":{"date-parts":[["2013","12"]]},"page":"661-666","title":"Persistence and reappearance of high-risk human papillomavirus after conization","type":"article-journal","volume":"131"},"uris":["http://www.mendeley.com/documents/?uuid=50bbec7d-2bf6-33d2-8eda-29170738f869"]}],"mendeley":{"formattedCitation":"[38]","plainTextFormattedCitation":"[38]","previouslyFormattedCitation":"[38]"},"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[38]</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 xml:space="preserve">604, women with CIN2 or worse at four hospitals in Denmark, age range NR; </w:t>
            </w:r>
            <w:r w:rsidRPr="00010F3C">
              <w:rPr>
                <w:rFonts w:asciiTheme="minorHAnsi" w:hAnsiTheme="minorHAnsi" w:cstheme="minorHAnsi"/>
                <w:i/>
                <w:sz w:val="18"/>
                <w:szCs w:val="18"/>
              </w:rPr>
              <w:t>N=18 cases of reappearance (2.2%)</w:t>
            </w:r>
          </w:p>
        </w:tc>
        <w:tc>
          <w:tcPr>
            <w:tcW w:w="1669"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8-12M follow-up duration; 4-6M; 8-12M</w:t>
            </w:r>
          </w:p>
        </w:tc>
        <w:tc>
          <w:tcPr>
            <w:tcW w:w="2431" w:type="dxa"/>
          </w:tcPr>
          <w:p w:rsidR="001E18A6" w:rsidRPr="00A04511" w:rsidRDefault="001E18A6" w:rsidP="008410D6">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8"/>
                <w:szCs w:val="18"/>
              </w:rPr>
              <w:t xml:space="preserve">Hybrid Capture 2; HPV genotype testing via line probe assay (INNO LiPAv2 </w:t>
            </w:r>
            <w:proofErr w:type="spellStart"/>
            <w:r w:rsidRPr="00010F3C">
              <w:rPr>
                <w:rFonts w:asciiTheme="minorHAnsi" w:hAnsiTheme="minorHAnsi" w:cstheme="minorHAnsi"/>
                <w:sz w:val="18"/>
                <w:szCs w:val="18"/>
              </w:rPr>
              <w:t>Innogenetics</w:t>
            </w:r>
            <w:proofErr w:type="spellEnd"/>
            <w:r w:rsidRPr="00010F3C">
              <w:rPr>
                <w:rFonts w:asciiTheme="minorHAnsi" w:hAnsiTheme="minorHAnsi" w:cstheme="minorHAnsi"/>
                <w:sz w:val="18"/>
                <w:szCs w:val="18"/>
              </w:rPr>
              <w:t>)</w:t>
            </w:r>
          </w:p>
        </w:tc>
        <w:tc>
          <w:tcPr>
            <w:tcW w:w="185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Age, HPV viral load at baseline, condom use since last visit, # partners since last visit, time since last visit</w:t>
            </w:r>
          </w:p>
          <w:p w:rsidR="001E18A6" w:rsidRPr="00010F3C" w:rsidRDefault="001E18A6" w:rsidP="008410D6">
            <w:pPr>
              <w:rPr>
                <w:rFonts w:asciiTheme="minorHAnsi" w:hAnsiTheme="minorHAnsi" w:cstheme="minorHAnsi"/>
                <w:sz w:val="18"/>
                <w:szCs w:val="18"/>
              </w:rPr>
            </w:pPr>
          </w:p>
        </w:tc>
        <w:tc>
          <w:tcPr>
            <w:tcW w:w="1243"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Non-user of oral contraception in last 4-6M</w:t>
            </w:r>
          </w:p>
        </w:tc>
        <w:tc>
          <w:tcPr>
            <w:tcW w:w="1488" w:type="dxa"/>
          </w:tcPr>
          <w:p w:rsidR="001E18A6" w:rsidRPr="00010F3C" w:rsidRDefault="001E18A6" w:rsidP="008410D6">
            <w:pPr>
              <w:rPr>
                <w:rFonts w:asciiTheme="minorHAnsi" w:hAnsiTheme="minorHAnsi" w:cstheme="minorHAnsi"/>
                <w:sz w:val="18"/>
                <w:szCs w:val="18"/>
                <w:u w:val="single"/>
              </w:rPr>
            </w:pPr>
            <w:r w:rsidRPr="00010F3C">
              <w:rPr>
                <w:rFonts w:asciiTheme="minorHAnsi" w:hAnsiTheme="minorHAnsi" w:cstheme="minorHAnsi"/>
                <w:sz w:val="18"/>
                <w:szCs w:val="18"/>
                <w:u w:val="single"/>
              </w:rPr>
              <w:t>OC</w:t>
            </w:r>
            <w:r>
              <w:rPr>
                <w:rFonts w:asciiTheme="minorHAnsi" w:hAnsiTheme="minorHAnsi" w:cstheme="minorHAnsi"/>
                <w:sz w:val="18"/>
                <w:szCs w:val="18"/>
                <w:u w:val="single"/>
              </w:rPr>
              <w:t>P</w:t>
            </w:r>
            <w:r w:rsidRPr="00010F3C">
              <w:rPr>
                <w:rFonts w:asciiTheme="minorHAnsi" w:hAnsiTheme="minorHAnsi" w:cstheme="minorHAnsi"/>
                <w:sz w:val="18"/>
                <w:szCs w:val="18"/>
                <w:u w:val="single"/>
              </w:rPr>
              <w:t xml:space="preserve"> on re-appearance of </w:t>
            </w:r>
            <w:r>
              <w:rPr>
                <w:rFonts w:asciiTheme="minorHAnsi" w:hAnsiTheme="minorHAnsi" w:cstheme="minorHAnsi"/>
                <w:sz w:val="18"/>
                <w:szCs w:val="18"/>
                <w:u w:val="single"/>
              </w:rPr>
              <w:t xml:space="preserve">any </w:t>
            </w:r>
            <w:r w:rsidRPr="00010F3C">
              <w:rPr>
                <w:rFonts w:asciiTheme="minorHAnsi" w:hAnsiTheme="minorHAnsi" w:cstheme="minorHAnsi"/>
                <w:sz w:val="18"/>
                <w:szCs w:val="18"/>
                <w:u w:val="single"/>
              </w:rPr>
              <w:t>HPV:</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1.00 (0.21, 4.82)</w:t>
            </w:r>
          </w:p>
        </w:tc>
        <w:tc>
          <w:tcPr>
            <w:tcW w:w="113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c>
          <w:tcPr>
            <w:tcW w:w="1321" w:type="dxa"/>
          </w:tcPr>
          <w:p w:rsidR="001E18A6" w:rsidRPr="00010F3C" w:rsidRDefault="001E18A6" w:rsidP="008410D6">
            <w:pPr>
              <w:rPr>
                <w:rFonts w:asciiTheme="minorHAnsi" w:hAnsiTheme="minorHAnsi" w:cstheme="minorHAnsi"/>
                <w:sz w:val="18"/>
                <w:szCs w:val="18"/>
              </w:rPr>
            </w:pPr>
            <w:bookmarkStart w:id="0" w:name="_GoBack"/>
            <w:bookmarkEnd w:id="0"/>
            <w:r w:rsidRPr="00010F3C">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proofErr w:type="spellStart"/>
            <w:r w:rsidRPr="00010F3C">
              <w:rPr>
                <w:rFonts w:asciiTheme="minorHAnsi" w:hAnsiTheme="minorHAnsi" w:cstheme="minorHAnsi"/>
                <w:sz w:val="18"/>
                <w:szCs w:val="18"/>
              </w:rPr>
              <w:t>Lekovich</w:t>
            </w:r>
            <w:proofErr w:type="spellEnd"/>
            <w:r w:rsidRPr="00010F3C">
              <w:rPr>
                <w:rFonts w:asciiTheme="minorHAnsi" w:hAnsiTheme="minorHAnsi" w:cstheme="minorHAnsi"/>
                <w:sz w:val="18"/>
                <w:szCs w:val="18"/>
              </w:rPr>
              <w:t>, 2015</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{"citationItems":[{"id":"ITEM-1","itemData":{"DOI":"10.1097/AOG.0000000000000760","ISSN":"0029-7844","PMID":"25932838","abstract":"OBJECTIVE To investigate whether there is a difference in cervical cytology and high-risk human papillomavirus (HPV) infection clearance between levonorgestrel- and copper-containing intrauterine device (IUD) users. METHODS The electronic medical record system was searched by the appropriate procedural code for IUD insertion for all patients undergoing IUD placement during the study period (January 31, 2005 to January 31, 2012). Patients who received treatment for cervical dysplasia, had their IUDs removed, or conceived during the study period were excluded. High-risk HPV and cervical cytology results immediately preceding and after IUD placement were obtained. RESULTS One hundred fifty patients had a copper-containing and 152 patients a levonorgestrel-containing IUD placed. The groups were comparable in terms of age, body mass index, duration of follow-up, and percentage of smokers. Sixty-six patients were high-risk HPV-positive before IUD insertion (30 in copper compared with 36 in the levonorgestrel IUD group, P=.4), and the groups had similar follow-up times (364.1±26.3 compared with 357.2±29.7 days, respectively, between the IUD placement and a repeat Pap test with high-risk HPV cotesting, P=.2). Of those, 21 (70%; 95% confidence interval [CI] 53.6-86.4%) cleared the infection after copper-containing IUD placement compared with 15 (42%; 95% CI 25.6-57.8%) in the levonorgestrel group (P=.04). There were only two (1.7%) new high-risk HPV infections in the copper compared with eight (6.9%) in the levonorgestrel group (P=.056). CONCLUSION Our data suggest that levonorgestrel-containing IUD could be associated with decreased high-risk HPV infection clearance and possibly increased acquisition compared with the copper-containing IUD. LEVEL OF EVIDENCE II.","author":[{"dropping-particle":"","family":"Lekovich","given":"Jovana P.","non-dropping-particle":"","parse-names":false,"suffix":""},{"dropping-particle":"","family":"Amrane","given":"Selma","non-dropping-particle":"","parse-names":false,"suffix":""},{"dropping-particle":"","family":"Pangasa","given":"Misha","non-dropping-particle":"","parse-names":false,"suffix":""},{"dropping-particle":"","family":"Pereira","given":"Nigel","non-dropping-particle":"","parse-names":false,"suffix":""},{"dropping-particle":"","family":"Frey","given":"Melissa K.","non-dropping-particle":"","parse-names":false,"suffix":""},{"dropping-particle":"","family":"Varrey","given":"Aneesha","non-dropping-particle":"","parse-names":false,"suffix":""},{"dropping-particle":"","family":"Holcomb","given":"Kevin","non-dropping-particle":"","parse-names":false,"suffix":""}],"container-title":"Obstetrics &amp; Gynecology","id":"ITEM-1","issue":"5","issued":{"date-parts":[["2015","5"]]},"page":"1101-1105","title":"Comparison of Human Papillomavirus infection and cervical cytology in women using copper-containing and levonorgestrel-containing intrauterine devices","type":"article-journal","volume":"125"},"uris":["http://www.mendeley.com/documents/?uuid=05e76661-815b-3a03-b534-08fb18c1154f"]}],"mendeley":{"formattedCitation":"[39]","plainTextFormattedCitation":"[39]","previouslyFormattedCitation":"[39]"},"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[39]</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i/>
                <w:sz w:val="18"/>
                <w:szCs w:val="18"/>
              </w:rPr>
            </w:pPr>
            <w:r w:rsidRPr="00010F3C">
              <w:rPr>
                <w:rFonts w:asciiTheme="minorHAnsi" w:hAnsiTheme="minorHAnsi" w:cstheme="minorHAnsi"/>
                <w:sz w:val="18"/>
                <w:szCs w:val="18"/>
              </w:rPr>
              <w:t xml:space="preserve">302, HIV negative women with IUD placement between 2005 and 2012 and </w:t>
            </w:r>
            <w:r w:rsidRPr="00010F3C">
              <w:rPr>
                <w:rFonts w:asciiTheme="minorHAnsi" w:hAnsiTheme="minorHAnsi" w:cstheme="minorHAnsi"/>
                <w:sz w:val="18"/>
                <w:szCs w:val="18"/>
              </w:rPr>
              <w:lastRenderedPageBreak/>
              <w:t xml:space="preserve">pre/post insertion HPV testing at participating U.S. institution, Mean age 33; </w:t>
            </w:r>
            <w:r w:rsidRPr="00010F3C">
              <w:rPr>
                <w:rFonts w:asciiTheme="minorHAnsi" w:hAnsiTheme="minorHAnsi" w:cstheme="minorHAnsi"/>
                <w:i/>
                <w:sz w:val="18"/>
                <w:szCs w:val="18"/>
              </w:rPr>
              <w:t>N=8 /152 cases Levonorgestrel IUD, 2/150 cases Copper IUD</w:t>
            </w:r>
          </w:p>
        </w:tc>
        <w:tc>
          <w:tcPr>
            <w:tcW w:w="1669" w:type="dxa"/>
          </w:tcPr>
          <w:p w:rsidR="001E18A6" w:rsidRPr="00010F3C" w:rsidRDefault="001E18A6" w:rsidP="008410D6">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8"/>
                <w:szCs w:val="18"/>
              </w:rPr>
              <w:lastRenderedPageBreak/>
              <w:t xml:space="preserve">Mean time </w:t>
            </w:r>
            <w:r>
              <w:rPr>
                <w:rFonts w:asciiTheme="minorHAnsi" w:hAnsiTheme="minorHAnsi" w:cstheme="minorHAnsi"/>
                <w:sz w:val="18"/>
                <w:szCs w:val="18"/>
              </w:rPr>
              <w:t>between pre-</w:t>
            </w:r>
            <w:r w:rsidRPr="00010F3C">
              <w:rPr>
                <w:rFonts w:asciiTheme="minorHAnsi" w:hAnsiTheme="minorHAnsi" w:cstheme="minorHAnsi"/>
                <w:sz w:val="18"/>
                <w:szCs w:val="18"/>
              </w:rPr>
              <w:t>IUD and</w:t>
            </w:r>
            <w:r>
              <w:rPr>
                <w:rFonts w:asciiTheme="minorHAnsi" w:hAnsiTheme="minorHAnsi" w:cstheme="minorHAnsi"/>
                <w:sz w:val="18"/>
                <w:szCs w:val="18"/>
              </w:rPr>
              <w:t xml:space="preserve"> post IUD</w:t>
            </w:r>
            <w:r w:rsidRPr="00010F3C">
              <w:rPr>
                <w:rFonts w:asciiTheme="minorHAnsi" w:hAnsiTheme="minorHAnsi" w:cstheme="minorHAnsi"/>
                <w:sz w:val="18"/>
                <w:szCs w:val="18"/>
              </w:rPr>
              <w:t xml:space="preserve"> </w:t>
            </w:r>
            <w:r>
              <w:rPr>
                <w:rFonts w:asciiTheme="minorHAnsi" w:hAnsiTheme="minorHAnsi" w:cstheme="minorHAnsi"/>
                <w:sz w:val="18"/>
                <w:szCs w:val="18"/>
              </w:rPr>
              <w:t>HR-HPV</w:t>
            </w:r>
            <w:r w:rsidRPr="00010F3C">
              <w:rPr>
                <w:rFonts w:asciiTheme="minorHAnsi" w:hAnsiTheme="minorHAnsi" w:cstheme="minorHAnsi"/>
                <w:sz w:val="18"/>
                <w:szCs w:val="18"/>
              </w:rPr>
              <w:t xml:space="preserve"> test: </w:t>
            </w:r>
            <w:r>
              <w:rPr>
                <w:rFonts w:asciiTheme="minorHAnsi" w:hAnsiTheme="minorHAnsi" w:cstheme="minorHAnsi"/>
                <w:sz w:val="18"/>
                <w:szCs w:val="18"/>
              </w:rPr>
              <w:t>555</w:t>
            </w:r>
            <w:r w:rsidRPr="00010F3C">
              <w:rPr>
                <w:rFonts w:asciiTheme="minorHAnsi" w:hAnsiTheme="minorHAnsi" w:cstheme="minorHAnsi"/>
                <w:sz w:val="18"/>
                <w:szCs w:val="18"/>
              </w:rPr>
              <w:t xml:space="preserve"> days </w:t>
            </w:r>
            <w:r w:rsidRPr="00010F3C">
              <w:rPr>
                <w:rFonts w:asciiTheme="minorHAnsi" w:hAnsiTheme="minorHAnsi" w:cstheme="minorHAnsi"/>
                <w:sz w:val="18"/>
                <w:szCs w:val="18"/>
              </w:rPr>
              <w:lastRenderedPageBreak/>
              <w:t xml:space="preserve">(Copper IUD), </w:t>
            </w:r>
            <w:r>
              <w:rPr>
                <w:rFonts w:asciiTheme="minorHAnsi" w:hAnsiTheme="minorHAnsi" w:cstheme="minorHAnsi"/>
                <w:sz w:val="18"/>
                <w:szCs w:val="18"/>
              </w:rPr>
              <w:t xml:space="preserve">534 </w:t>
            </w:r>
            <w:r w:rsidRPr="00010F3C">
              <w:rPr>
                <w:rFonts w:asciiTheme="minorHAnsi" w:hAnsiTheme="minorHAnsi" w:cstheme="minorHAnsi"/>
                <w:sz w:val="18"/>
                <w:szCs w:val="18"/>
              </w:rPr>
              <w:t>days (Levonorgestrel IUD)</w:t>
            </w:r>
            <w:r>
              <w:rPr>
                <w:rFonts w:asciiTheme="minorHAnsi" w:hAnsiTheme="minorHAnsi" w:cstheme="minorHAnsi"/>
                <w:sz w:val="18"/>
                <w:szCs w:val="18"/>
              </w:rPr>
              <w:t xml:space="preserve">; </w:t>
            </w:r>
            <w:r w:rsidRPr="003320CB">
              <w:rPr>
                <w:rFonts w:asciiTheme="minorHAnsi" w:eastAsiaTheme="minorHAnsi" w:hAnsiTheme="minorHAnsi" w:cstheme="minorHAnsi"/>
                <w:sz w:val="18"/>
                <w:szCs w:val="18"/>
              </w:rPr>
              <w:t xml:space="preserve">IUD placement and repeat </w:t>
            </w:r>
            <w:r>
              <w:rPr>
                <w:rFonts w:asciiTheme="minorHAnsi" w:eastAsiaTheme="minorHAnsi" w:hAnsiTheme="minorHAnsi" w:cstheme="minorHAnsi"/>
                <w:sz w:val="18"/>
                <w:szCs w:val="18"/>
              </w:rPr>
              <w:t>HR-</w:t>
            </w:r>
            <w:r w:rsidRPr="003320CB">
              <w:rPr>
                <w:rFonts w:asciiTheme="minorHAnsi" w:eastAsiaTheme="minorHAnsi" w:hAnsiTheme="minorHAnsi" w:cstheme="minorHAnsi"/>
                <w:sz w:val="18"/>
                <w:szCs w:val="18"/>
              </w:rPr>
              <w:t>HPV test: 356 (Copper IUD), 349 (Levonorgestrel IUD)</w:t>
            </w:r>
          </w:p>
        </w:tc>
        <w:tc>
          <w:tcPr>
            <w:tcW w:w="2431" w:type="dxa"/>
          </w:tcPr>
          <w:p w:rsidR="001E18A6" w:rsidRDefault="001E18A6" w:rsidP="008410D6">
            <w:pPr>
              <w:rPr>
                <w:rFonts w:asciiTheme="minorHAnsi" w:hAnsiTheme="minorHAnsi" w:cstheme="minorHAnsi"/>
                <w:sz w:val="18"/>
                <w:szCs w:val="18"/>
              </w:rPr>
            </w:pPr>
            <w:r w:rsidRPr="00010F3C">
              <w:rPr>
                <w:rFonts w:asciiTheme="minorHAnsi" w:hAnsiTheme="minorHAnsi" w:cstheme="minorHAnsi"/>
                <w:sz w:val="18"/>
                <w:szCs w:val="18"/>
              </w:rPr>
              <w:lastRenderedPageBreak/>
              <w:t>Hybrid Capture 2 test</w:t>
            </w:r>
          </w:p>
          <w:p w:rsidR="001E18A6" w:rsidRPr="00010F3C" w:rsidRDefault="001E18A6" w:rsidP="008410D6">
            <w:pPr>
              <w:rPr>
                <w:rFonts w:asciiTheme="minorHAnsi" w:hAnsiTheme="minorHAnsi" w:cstheme="minorHAnsi"/>
                <w:sz w:val="18"/>
                <w:szCs w:val="18"/>
              </w:rPr>
            </w:pPr>
          </w:p>
        </w:tc>
        <w:tc>
          <w:tcPr>
            <w:tcW w:w="185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 xml:space="preserve">Study groups matched on: age, high-risk HPV infection, rate of </w:t>
            </w:r>
            <w:r w:rsidRPr="00010F3C">
              <w:rPr>
                <w:rFonts w:asciiTheme="minorHAnsi" w:hAnsiTheme="minorHAnsi" w:cstheme="minorHAnsi"/>
                <w:sz w:val="18"/>
                <w:szCs w:val="18"/>
              </w:rPr>
              <w:lastRenderedPageBreak/>
              <w:t>abnormal cytology and proportion of smokers</w:t>
            </w:r>
          </w:p>
        </w:tc>
        <w:tc>
          <w:tcPr>
            <w:tcW w:w="1243"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lastRenderedPageBreak/>
              <w:t>Non-pregnant Copper IUD user</w:t>
            </w:r>
          </w:p>
        </w:tc>
        <w:tc>
          <w:tcPr>
            <w:tcW w:w="148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c>
          <w:tcPr>
            <w:tcW w:w="113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c>
          <w:tcPr>
            <w:tcW w:w="1321"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u w:val="single"/>
              </w:rPr>
              <w:t>HR-</w:t>
            </w:r>
            <w:r w:rsidRPr="00010F3C">
              <w:rPr>
                <w:rFonts w:asciiTheme="minorHAnsi" w:hAnsiTheme="minorHAnsi" w:cstheme="minorHAnsi"/>
                <w:sz w:val="18"/>
                <w:szCs w:val="18"/>
                <w:u w:val="single"/>
              </w:rPr>
              <w:t xml:space="preserve">HPV: </w:t>
            </w:r>
            <w:r w:rsidRPr="00010F3C">
              <w:rPr>
                <w:rFonts w:asciiTheme="minorHAnsi" w:hAnsiTheme="minorHAnsi" w:cstheme="minorHAnsi"/>
                <w:sz w:val="18"/>
                <w:szCs w:val="18"/>
              </w:rPr>
              <w:t xml:space="preserve">Levonorgestrel vs. Copper IUD </w:t>
            </w:r>
            <w:r w:rsidRPr="00010F3C">
              <w:rPr>
                <w:rFonts w:asciiTheme="minorHAnsi" w:hAnsiTheme="minorHAnsi" w:cstheme="minorHAnsi"/>
                <w:sz w:val="18"/>
                <w:szCs w:val="18"/>
              </w:rPr>
              <w:lastRenderedPageBreak/>
              <w:t>OR: 4.</w:t>
            </w:r>
            <w:r>
              <w:rPr>
                <w:rFonts w:asciiTheme="minorHAnsi" w:hAnsiTheme="minorHAnsi" w:cstheme="minorHAnsi"/>
                <w:sz w:val="18"/>
                <w:szCs w:val="18"/>
              </w:rPr>
              <w:t>37</w:t>
            </w:r>
            <w:r w:rsidRPr="00010F3C">
              <w:rPr>
                <w:rFonts w:asciiTheme="minorHAnsi" w:hAnsiTheme="minorHAnsi" w:cstheme="minorHAnsi"/>
                <w:sz w:val="18"/>
                <w:szCs w:val="18"/>
              </w:rPr>
              <w:t>, p=0.056</w:t>
            </w:r>
          </w:p>
        </w:tc>
      </w:tr>
      <w:tr w:rsidR="001E18A6" w:rsidRPr="00010F3C" w:rsidTr="008410D6">
        <w:tc>
          <w:tcPr>
            <w:tcW w:w="965" w:type="dxa"/>
          </w:tcPr>
          <w:p w:rsidR="001E18A6" w:rsidRPr="00B90A9A" w:rsidRDefault="001E18A6" w:rsidP="008410D6">
            <w:pPr>
              <w:rPr>
                <w:rFonts w:asciiTheme="minorHAnsi" w:hAnsiTheme="minorHAnsi" w:cstheme="minorHAnsi"/>
                <w:color w:val="000000" w:themeColor="text1"/>
                <w:sz w:val="18"/>
                <w:szCs w:val="18"/>
              </w:rPr>
            </w:pPr>
            <w:proofErr w:type="spellStart"/>
            <w:r w:rsidRPr="00B90A9A">
              <w:rPr>
                <w:rFonts w:asciiTheme="minorHAnsi" w:hAnsiTheme="minorHAnsi" w:cstheme="minorHAnsi"/>
                <w:color w:val="000000" w:themeColor="text1"/>
                <w:sz w:val="18"/>
                <w:szCs w:val="18"/>
              </w:rPr>
              <w:lastRenderedPageBreak/>
              <w:t>Louvanto</w:t>
            </w:r>
            <w:proofErr w:type="spellEnd"/>
            <w:r w:rsidRPr="00B90A9A">
              <w:rPr>
                <w:rFonts w:asciiTheme="minorHAnsi" w:hAnsiTheme="minorHAnsi" w:cstheme="minorHAnsi"/>
                <w:color w:val="000000" w:themeColor="text1"/>
                <w:sz w:val="18"/>
                <w:szCs w:val="18"/>
              </w:rPr>
              <w:t xml:space="preserve">, 2011 </w:t>
            </w:r>
            <w:r w:rsidRPr="00B90A9A">
              <w:rPr>
                <w:rFonts w:asciiTheme="minorHAnsi" w:hAnsiTheme="minorHAnsi" w:cstheme="minorHAnsi"/>
                <w:color w:val="000000" w:themeColor="text1"/>
                <w:sz w:val="18"/>
                <w:szCs w:val="18"/>
              </w:rPr>
              <w:fldChar w:fldCharType="begin" w:fldLock="1"/>
            </w:r>
            <w:r>
              <w:rPr>
                <w:rFonts w:asciiTheme="minorHAnsi" w:hAnsiTheme="minorHAnsi" w:cstheme="minorHAnsi"/>
                <w:color w:val="000000" w:themeColor="text1"/>
                <w:sz w:val="18"/>
                <w:szCs w:val="18"/>
              </w:rPr>
              <w:instrText>ADDIN CSL_CITATION {"citationItems":[{"id":"ITEM-1","itemData":{"DOI":"10.1186/1471-2334-11-179","ISSN":"1471-2334","abstract":"The knowledge on type specificity and factors that increase or decrease the risk of incident HPV-infections is important to better understand the dynamics of HPV-infections. A series of 329 pregnant women were enrolled in Finnish Family HPV Study at 3rd trimester of pregnancy and followed-up for 6 years, during which 203 baseline HPV-negative women acquired incident HPV infection. Incidence times and incidence rates (IR) were calculated for 24 low-and high-risk HPV-types detected by Multiplex-HPV-genotyping at each visit. Poison regression was used to estimate predictors of incident HPV infections of species 7 and 9 HPV-genotypes. HPV16 was the most frequent (47.8%) incident genotype followed by multiple-type infections (25.1%), and single infection with HPV18, 70, 6 and 45. Actuarial mean times to incident event were longest for HPV31 (34.5 months) and HPV45 (32.8 months), while crude mean times were longest for HPV56 (42.4 months) and HPV16 (23.1 months). Actuarial IR was highest for HPV16 and multiple-type infections. Independent protective factors against incident infections were 1) &gt; 2 life-time sexual partners (p = 0.014), 2) later initiation of oral contraceptives (age &gt; 20 years) (p = 0.017) and 3) pregnancy at FU visit (p = 0.0001). Among newly delivered mothers, higher number of life-time sexual partners, initiation of OC use after age 20 and becoming pregnant during FU decreased the risk for incident species 7/9 HPV infections.","author":[{"dropping-particle":"","family":"Louvanto","given":"Karolina","non-dropping-particle":"","parse-names":false,"suffix":""},{"dropping-particle":"","family":"Rintala","given":"Marjut A","non-dropping-particle":"","parse-names":false,"suffix":""},{"dropping-particle":"","family":"Syrjänen","given":"Kari J","non-dropping-particle":"","parse-names":false,"suffix":""},{"dropping-particle":"","family":"Grénman","given":"Seija E","non-dropping-particle":"","parse-names":false,"suffix":""},{"dropping-particle":"","family":"Syrjänen","given":"Stina M","non-dropping-particle":"","parse-names":false,"suffix":""}],"container-title":"BMC Infectious Diseases","id":"ITEM-1","issue":"1","issued":{"date-parts":[["2011"]]},"page":"179","title":"Incident cervical infections with high- and low-risk human papillomavirus (HPV) infections among mothers in the prospective Finnish Family HPV Study","type":"article-journal","volume":"11"},"uris":["http://www.mendeley.com/documents/?uuid=71c778bc-7c2f-39b7-beb0-009671e22afd"]}],"mendeley":{"formattedCitation":"[40]","plainTextFormattedCitation":"[40]","previouslyFormattedCitation":"[40]"},"properties":{"noteIndex":0},"schema":"https://github.com/citation-style-language/schema/raw/master/csl-citation.json"}</w:instrText>
            </w:r>
            <w:r w:rsidRPr="00B90A9A">
              <w:rPr>
                <w:rFonts w:asciiTheme="minorHAnsi" w:hAnsiTheme="minorHAnsi" w:cstheme="minorHAnsi"/>
                <w:color w:val="000000" w:themeColor="text1"/>
                <w:sz w:val="18"/>
                <w:szCs w:val="18"/>
              </w:rPr>
              <w:fldChar w:fldCharType="separate"/>
            </w:r>
            <w:r w:rsidRPr="008031AE">
              <w:rPr>
                <w:rFonts w:asciiTheme="minorHAnsi" w:hAnsiTheme="minorHAnsi" w:cstheme="minorHAnsi"/>
                <w:noProof/>
                <w:color w:val="000000" w:themeColor="text1"/>
                <w:sz w:val="18"/>
                <w:szCs w:val="18"/>
              </w:rPr>
              <w:t>[40]</w:t>
            </w:r>
            <w:r w:rsidRPr="00B90A9A">
              <w:rPr>
                <w:rFonts w:asciiTheme="minorHAnsi" w:hAnsiTheme="minorHAnsi" w:cstheme="minorHAnsi"/>
                <w:color w:val="000000" w:themeColor="text1"/>
                <w:sz w:val="18"/>
                <w:szCs w:val="18"/>
              </w:rPr>
              <w:fldChar w:fldCharType="end"/>
            </w:r>
          </w:p>
        </w:tc>
        <w:tc>
          <w:tcPr>
            <w:tcW w:w="2028" w:type="dxa"/>
          </w:tcPr>
          <w:p w:rsidR="001E18A6" w:rsidRPr="00B90A9A" w:rsidRDefault="001E18A6" w:rsidP="008410D6">
            <w:pPr>
              <w:rPr>
                <w:rFonts w:asciiTheme="minorHAnsi" w:hAnsiTheme="minorHAnsi" w:cstheme="minorHAnsi"/>
                <w:color w:val="000000" w:themeColor="text1"/>
                <w:sz w:val="18"/>
                <w:szCs w:val="18"/>
              </w:rPr>
            </w:pPr>
            <w:r w:rsidRPr="00B90A9A">
              <w:rPr>
                <w:rFonts w:asciiTheme="minorHAnsi" w:hAnsiTheme="minorHAnsi" w:cstheme="minorHAnsi"/>
                <w:color w:val="000000" w:themeColor="text1"/>
                <w:sz w:val="18"/>
                <w:szCs w:val="18"/>
              </w:rPr>
              <w:t xml:space="preserve">255, postpartum women in Finland, </w:t>
            </w:r>
            <w:proofErr w:type="gramStart"/>
            <w:r w:rsidRPr="00B90A9A">
              <w:rPr>
                <w:rFonts w:asciiTheme="minorHAnsi" w:hAnsiTheme="minorHAnsi" w:cstheme="minorHAnsi"/>
                <w:color w:val="000000" w:themeColor="text1"/>
                <w:sz w:val="18"/>
                <w:szCs w:val="18"/>
              </w:rPr>
              <w:t>Mean</w:t>
            </w:r>
            <w:proofErr w:type="gramEnd"/>
            <w:r w:rsidRPr="00B90A9A">
              <w:rPr>
                <w:rFonts w:asciiTheme="minorHAnsi" w:hAnsiTheme="minorHAnsi" w:cstheme="minorHAnsi"/>
                <w:color w:val="000000" w:themeColor="text1"/>
                <w:sz w:val="18"/>
                <w:szCs w:val="18"/>
              </w:rPr>
              <w:t xml:space="preserve"> age 26 (SD 3.1); </w:t>
            </w:r>
            <w:r w:rsidRPr="00B90A9A">
              <w:rPr>
                <w:rFonts w:asciiTheme="minorHAnsi" w:hAnsiTheme="minorHAnsi" w:cstheme="minorHAnsi"/>
                <w:i/>
                <w:color w:val="000000" w:themeColor="text1"/>
                <w:sz w:val="18"/>
                <w:szCs w:val="18"/>
              </w:rPr>
              <w:t xml:space="preserve">N=203 incident cases, 133 for HPV- species </w:t>
            </w:r>
            <w:r w:rsidRPr="00B90A9A">
              <w:rPr>
                <w:rFonts w:asciiTheme="minorHAnsi" w:eastAsiaTheme="minorHAnsi" w:hAnsiTheme="minorHAnsi" w:cstheme="minorHAnsi"/>
                <w:color w:val="000000" w:themeColor="text1"/>
                <w:sz w:val="18"/>
                <w:szCs w:val="16"/>
              </w:rPr>
              <w:t>α</w:t>
            </w:r>
            <w:r w:rsidRPr="00B90A9A">
              <w:rPr>
                <w:rFonts w:asciiTheme="minorHAnsi" w:hAnsiTheme="minorHAnsi" w:cstheme="minorHAnsi"/>
                <w:i/>
                <w:color w:val="000000" w:themeColor="text1"/>
                <w:sz w:val="18"/>
                <w:szCs w:val="18"/>
              </w:rPr>
              <w:t xml:space="preserve">7 and </w:t>
            </w:r>
            <w:r w:rsidRPr="00B90A9A">
              <w:rPr>
                <w:rFonts w:asciiTheme="minorHAnsi" w:eastAsiaTheme="minorHAnsi" w:hAnsiTheme="minorHAnsi" w:cstheme="minorHAnsi"/>
                <w:color w:val="000000" w:themeColor="text1"/>
                <w:sz w:val="18"/>
                <w:szCs w:val="16"/>
              </w:rPr>
              <w:t>α</w:t>
            </w:r>
            <w:r w:rsidRPr="00B90A9A">
              <w:rPr>
                <w:rFonts w:asciiTheme="minorHAnsi" w:hAnsiTheme="minorHAnsi" w:cstheme="minorHAnsi"/>
                <w:i/>
                <w:color w:val="000000" w:themeColor="text1"/>
                <w:sz w:val="18"/>
                <w:szCs w:val="18"/>
              </w:rPr>
              <w:t>9 included in analyses</w:t>
            </w:r>
            <w:r w:rsidRPr="00B90A9A">
              <w:rPr>
                <w:rFonts w:asciiTheme="minorHAnsi" w:hAnsiTheme="minorHAnsi" w:cstheme="minorHAnsi"/>
                <w:color w:val="000000" w:themeColor="text1"/>
                <w:sz w:val="18"/>
                <w:szCs w:val="18"/>
              </w:rPr>
              <w:t xml:space="preserve"> </w:t>
            </w:r>
          </w:p>
        </w:tc>
        <w:tc>
          <w:tcPr>
            <w:tcW w:w="1669" w:type="dxa"/>
          </w:tcPr>
          <w:p w:rsidR="001E18A6" w:rsidRPr="00B90A9A" w:rsidRDefault="001E18A6" w:rsidP="008410D6">
            <w:pPr>
              <w:rPr>
                <w:rFonts w:asciiTheme="minorHAnsi" w:hAnsiTheme="minorHAnsi" w:cstheme="minorHAnsi"/>
                <w:color w:val="000000" w:themeColor="text1"/>
                <w:sz w:val="18"/>
                <w:szCs w:val="18"/>
              </w:rPr>
            </w:pPr>
            <w:r w:rsidRPr="00C8016B">
              <w:rPr>
                <w:rFonts w:asciiTheme="minorHAnsi" w:hAnsiTheme="minorHAnsi" w:cstheme="minorHAnsi"/>
                <w:color w:val="000000" w:themeColor="text1"/>
                <w:sz w:val="18"/>
                <w:szCs w:val="18"/>
              </w:rPr>
              <w:t xml:space="preserve">6Y; 0M, 2M, </w:t>
            </w:r>
            <w:r w:rsidRPr="00B90A9A">
              <w:rPr>
                <w:rFonts w:asciiTheme="minorHAnsi" w:hAnsiTheme="minorHAnsi" w:cstheme="minorHAnsi"/>
                <w:color w:val="000000" w:themeColor="text1"/>
                <w:sz w:val="18"/>
                <w:szCs w:val="18"/>
              </w:rPr>
              <w:t>12M, 24M, 36M, 6Y</w:t>
            </w:r>
          </w:p>
        </w:tc>
        <w:tc>
          <w:tcPr>
            <w:tcW w:w="2431" w:type="dxa"/>
          </w:tcPr>
          <w:p w:rsidR="001E18A6" w:rsidRPr="0098076A" w:rsidRDefault="001E18A6" w:rsidP="008410D6">
            <w:pPr>
              <w:rPr>
                <w:rFonts w:asciiTheme="minorHAnsi" w:hAnsiTheme="minorHAnsi" w:cstheme="minorHAnsi"/>
                <w:color w:val="000000" w:themeColor="text1"/>
                <w:sz w:val="18"/>
                <w:szCs w:val="18"/>
              </w:rPr>
            </w:pPr>
            <w:r w:rsidRPr="00B90A9A">
              <w:rPr>
                <w:rFonts w:asciiTheme="minorHAnsi" w:hAnsiTheme="minorHAnsi" w:cstheme="minorHAnsi"/>
                <w:color w:val="000000" w:themeColor="text1"/>
                <w:sz w:val="18"/>
                <w:szCs w:val="18"/>
              </w:rPr>
              <w:t>Multiplex</w:t>
            </w:r>
            <w:r w:rsidRPr="00EA4BD1">
              <w:rPr>
                <w:rFonts w:asciiTheme="minorHAnsi" w:hAnsiTheme="minorHAnsi" w:cstheme="minorHAnsi"/>
                <w:color w:val="000000" w:themeColor="text1"/>
                <w:sz w:val="18"/>
                <w:szCs w:val="18"/>
              </w:rPr>
              <w:t>-HPV genotyping kit (</w:t>
            </w:r>
            <w:proofErr w:type="spellStart"/>
            <w:r w:rsidRPr="00EA4BD1">
              <w:rPr>
                <w:rFonts w:asciiTheme="minorHAnsi" w:hAnsiTheme="minorHAnsi" w:cstheme="minorHAnsi"/>
                <w:color w:val="000000" w:themeColor="text1"/>
                <w:sz w:val="18"/>
                <w:szCs w:val="18"/>
              </w:rPr>
              <w:t>Progen</w:t>
            </w:r>
            <w:proofErr w:type="spellEnd"/>
            <w:r w:rsidRPr="00EA4BD1">
              <w:rPr>
                <w:rFonts w:asciiTheme="minorHAnsi" w:hAnsiTheme="minorHAnsi" w:cstheme="minorHAnsi"/>
                <w:color w:val="000000" w:themeColor="text1"/>
                <w:sz w:val="18"/>
                <w:szCs w:val="18"/>
              </w:rPr>
              <w:t xml:space="preserve"> </w:t>
            </w:r>
            <w:proofErr w:type="spellStart"/>
            <w:r w:rsidRPr="00EA4BD1">
              <w:rPr>
                <w:rFonts w:asciiTheme="minorHAnsi" w:hAnsiTheme="minorHAnsi" w:cstheme="minorHAnsi"/>
                <w:color w:val="000000" w:themeColor="text1"/>
                <w:sz w:val="18"/>
                <w:szCs w:val="18"/>
              </w:rPr>
              <w:t>Biotechnik</w:t>
            </w:r>
            <w:proofErr w:type="spellEnd"/>
            <w:r w:rsidRPr="00EA4BD1">
              <w:rPr>
                <w:rFonts w:asciiTheme="minorHAnsi" w:hAnsiTheme="minorHAnsi" w:cstheme="minorHAnsi"/>
                <w:color w:val="000000" w:themeColor="text1"/>
                <w:sz w:val="18"/>
                <w:szCs w:val="18"/>
              </w:rPr>
              <w:t xml:space="preserve"> GmbH) </w:t>
            </w:r>
          </w:p>
          <w:p w:rsidR="001E18A6" w:rsidRPr="00FE528C" w:rsidRDefault="001E18A6" w:rsidP="008410D6">
            <w:pPr>
              <w:rPr>
                <w:rFonts w:asciiTheme="minorHAnsi" w:hAnsiTheme="minorHAnsi" w:cstheme="minorHAnsi"/>
                <w:color w:val="000000" w:themeColor="text1"/>
                <w:sz w:val="18"/>
                <w:szCs w:val="18"/>
              </w:rPr>
            </w:pPr>
          </w:p>
          <w:p w:rsidR="001E18A6" w:rsidRPr="00206308" w:rsidRDefault="001E18A6" w:rsidP="008410D6">
            <w:pPr>
              <w:rPr>
                <w:rFonts w:asciiTheme="minorHAnsi" w:hAnsiTheme="minorHAnsi" w:cstheme="minorHAnsi"/>
                <w:color w:val="000000" w:themeColor="text1"/>
                <w:sz w:val="18"/>
                <w:szCs w:val="18"/>
              </w:rPr>
            </w:pPr>
          </w:p>
        </w:tc>
        <w:tc>
          <w:tcPr>
            <w:tcW w:w="1850" w:type="dxa"/>
          </w:tcPr>
          <w:p w:rsidR="001E18A6" w:rsidRPr="00B90A9A" w:rsidRDefault="001E18A6" w:rsidP="008410D6">
            <w:pPr>
              <w:rPr>
                <w:rFonts w:asciiTheme="minorHAnsi" w:hAnsiTheme="minorHAnsi" w:cstheme="minorHAnsi"/>
                <w:color w:val="000000" w:themeColor="text1"/>
                <w:sz w:val="18"/>
                <w:szCs w:val="18"/>
              </w:rPr>
            </w:pPr>
            <w:r w:rsidRPr="00B90A9A">
              <w:rPr>
                <w:rFonts w:asciiTheme="minorHAnsi" w:hAnsiTheme="minorHAnsi" w:cstheme="minorHAnsi"/>
                <w:color w:val="000000" w:themeColor="text1"/>
                <w:sz w:val="18"/>
                <w:szCs w:val="18"/>
              </w:rPr>
              <w:t>Age, HR-HPV seropositive at baseline, seroconverted to HR-HPV, # sexual partners until age 20, lifetime # sex partners, age initiation of OC use, marital status, employment status, age of onset of sexual activity, baseline PAP smear results, baseline oral HR-HPV DNA status, frequency of sex, # of births, oral sex, ever had STD, history of genital warts, history of oral warts, age initiation of smoking, pregnancy during follow-up, change in marital status during follow-up</w:t>
            </w:r>
          </w:p>
          <w:p w:rsidR="001E18A6" w:rsidRPr="00B90A9A" w:rsidRDefault="001E18A6" w:rsidP="008410D6">
            <w:pPr>
              <w:rPr>
                <w:rFonts w:asciiTheme="minorHAnsi" w:hAnsiTheme="minorHAnsi" w:cstheme="minorHAnsi"/>
                <w:color w:val="000000" w:themeColor="text1"/>
                <w:sz w:val="18"/>
                <w:szCs w:val="18"/>
              </w:rPr>
            </w:pPr>
          </w:p>
          <w:p w:rsidR="001E18A6" w:rsidRPr="00B90A9A" w:rsidRDefault="001E18A6" w:rsidP="008410D6">
            <w:pPr>
              <w:rPr>
                <w:rFonts w:asciiTheme="minorHAnsi" w:hAnsiTheme="minorHAnsi" w:cstheme="minorHAnsi"/>
                <w:color w:val="000000" w:themeColor="text1"/>
                <w:sz w:val="18"/>
                <w:szCs w:val="18"/>
              </w:rPr>
            </w:pPr>
            <w:r w:rsidRPr="00B90A9A">
              <w:rPr>
                <w:rFonts w:asciiTheme="minorHAnsi" w:hAnsiTheme="minorHAnsi" w:cstheme="minorHAnsi"/>
                <w:color w:val="000000" w:themeColor="text1"/>
                <w:sz w:val="18"/>
                <w:szCs w:val="18"/>
              </w:rPr>
              <w:t xml:space="preserve">Final model (empirical strategy): age, </w:t>
            </w:r>
            <w:r w:rsidRPr="00B90A9A">
              <w:rPr>
                <w:rFonts w:asciiTheme="minorHAnsi" w:hAnsiTheme="minorHAnsi" w:cstheme="minorHAnsi"/>
                <w:color w:val="000000" w:themeColor="text1"/>
                <w:sz w:val="18"/>
                <w:szCs w:val="18"/>
              </w:rPr>
              <w:lastRenderedPageBreak/>
              <w:t xml:space="preserve">seroconverted to HR-HPV, # sexual partners until age 20, lifetime # sexual partners, </w:t>
            </w:r>
            <w:proofErr w:type="gramStart"/>
            <w:r w:rsidRPr="00B90A9A">
              <w:rPr>
                <w:rFonts w:asciiTheme="minorHAnsi" w:hAnsiTheme="minorHAnsi" w:cstheme="minorHAnsi"/>
                <w:color w:val="000000" w:themeColor="text1"/>
                <w:sz w:val="18"/>
                <w:szCs w:val="18"/>
              </w:rPr>
              <w:t>age initiated</w:t>
            </w:r>
            <w:proofErr w:type="gramEnd"/>
            <w:r w:rsidRPr="00B90A9A">
              <w:rPr>
                <w:rFonts w:asciiTheme="minorHAnsi" w:hAnsiTheme="minorHAnsi" w:cstheme="minorHAnsi"/>
                <w:color w:val="000000" w:themeColor="text1"/>
                <w:sz w:val="18"/>
                <w:szCs w:val="18"/>
              </w:rPr>
              <w:t xml:space="preserve"> OC use, smoking, pregnancy during follow-up, change in marital status during follow-up</w:t>
            </w:r>
          </w:p>
        </w:tc>
        <w:tc>
          <w:tcPr>
            <w:tcW w:w="1243" w:type="dxa"/>
          </w:tcPr>
          <w:p w:rsidR="001E18A6" w:rsidRPr="00B90A9A" w:rsidRDefault="001E18A6" w:rsidP="008410D6">
            <w:pPr>
              <w:rPr>
                <w:rFonts w:asciiTheme="minorHAnsi" w:hAnsiTheme="minorHAnsi" w:cstheme="minorHAnsi"/>
                <w:color w:val="000000" w:themeColor="text1"/>
                <w:sz w:val="18"/>
                <w:szCs w:val="18"/>
              </w:rPr>
            </w:pPr>
            <w:r w:rsidRPr="00B90A9A">
              <w:rPr>
                <w:rFonts w:asciiTheme="minorHAnsi" w:hAnsiTheme="minorHAnsi" w:cstheme="minorHAnsi"/>
                <w:color w:val="000000" w:themeColor="text1"/>
                <w:sz w:val="18"/>
                <w:szCs w:val="18"/>
              </w:rPr>
              <w:lastRenderedPageBreak/>
              <w:t>Never used OC pills</w:t>
            </w:r>
          </w:p>
        </w:tc>
        <w:tc>
          <w:tcPr>
            <w:tcW w:w="1488" w:type="dxa"/>
          </w:tcPr>
          <w:p w:rsidR="001E18A6" w:rsidRPr="00B90A9A" w:rsidRDefault="001E18A6" w:rsidP="008410D6">
            <w:pPr>
              <w:rPr>
                <w:rFonts w:asciiTheme="minorHAnsi" w:hAnsiTheme="minorHAnsi" w:cstheme="minorHAnsi"/>
                <w:color w:val="000000" w:themeColor="text1"/>
                <w:sz w:val="18"/>
                <w:szCs w:val="18"/>
              </w:rPr>
            </w:pPr>
            <w:r w:rsidRPr="00B90A9A">
              <w:rPr>
                <w:rFonts w:asciiTheme="minorHAnsi" w:hAnsiTheme="minorHAnsi" w:cstheme="minorHAnsi"/>
                <w:color w:val="000000" w:themeColor="text1"/>
                <w:sz w:val="18"/>
                <w:szCs w:val="18"/>
                <w:u w:val="single"/>
              </w:rPr>
              <w:t xml:space="preserve">OCP (ever use) on Species </w:t>
            </w:r>
            <w:r w:rsidRPr="00B90A9A">
              <w:rPr>
                <w:rFonts w:asciiTheme="minorHAnsi" w:eastAsiaTheme="minorHAnsi" w:hAnsiTheme="minorHAnsi" w:cstheme="minorHAnsi"/>
                <w:color w:val="000000" w:themeColor="text1"/>
                <w:sz w:val="18"/>
                <w:szCs w:val="16"/>
              </w:rPr>
              <w:t>α</w:t>
            </w:r>
            <w:r w:rsidRPr="00B90A9A">
              <w:rPr>
                <w:rFonts w:asciiTheme="minorHAnsi" w:hAnsiTheme="minorHAnsi" w:cstheme="minorHAnsi"/>
                <w:color w:val="000000" w:themeColor="text1"/>
                <w:sz w:val="18"/>
                <w:szCs w:val="18"/>
                <w:u w:val="single"/>
              </w:rPr>
              <w:t xml:space="preserve">7 and </w:t>
            </w:r>
            <w:r w:rsidRPr="00B90A9A">
              <w:rPr>
                <w:rFonts w:asciiTheme="minorHAnsi" w:eastAsiaTheme="minorHAnsi" w:hAnsiTheme="minorHAnsi" w:cstheme="minorHAnsi"/>
                <w:color w:val="000000" w:themeColor="text1"/>
                <w:sz w:val="18"/>
                <w:szCs w:val="16"/>
              </w:rPr>
              <w:t>α</w:t>
            </w:r>
            <w:r w:rsidRPr="00B90A9A">
              <w:rPr>
                <w:rFonts w:asciiTheme="minorHAnsi" w:hAnsiTheme="minorHAnsi" w:cstheme="minorHAnsi"/>
                <w:color w:val="000000" w:themeColor="text1"/>
                <w:sz w:val="18"/>
                <w:szCs w:val="18"/>
                <w:u w:val="single"/>
              </w:rPr>
              <w:t xml:space="preserve">9 HR- HPV: </w:t>
            </w:r>
            <w:proofErr w:type="spellStart"/>
            <w:r w:rsidRPr="00B90A9A">
              <w:rPr>
                <w:rFonts w:asciiTheme="minorHAnsi" w:hAnsiTheme="minorHAnsi" w:cstheme="minorHAnsi"/>
                <w:color w:val="000000" w:themeColor="text1"/>
                <w:sz w:val="18"/>
                <w:szCs w:val="18"/>
              </w:rPr>
              <w:t>aIRR</w:t>
            </w:r>
            <w:proofErr w:type="spellEnd"/>
            <w:r w:rsidRPr="00B90A9A">
              <w:rPr>
                <w:rFonts w:asciiTheme="minorHAnsi" w:hAnsiTheme="minorHAnsi" w:cstheme="minorHAnsi"/>
                <w:color w:val="000000" w:themeColor="text1"/>
                <w:sz w:val="18"/>
                <w:szCs w:val="18"/>
              </w:rPr>
              <w:t>:</w:t>
            </w:r>
          </w:p>
          <w:p w:rsidR="001E18A6" w:rsidRPr="00B90A9A" w:rsidRDefault="001E18A6" w:rsidP="008410D6">
            <w:pPr>
              <w:rPr>
                <w:rFonts w:asciiTheme="minorHAnsi" w:hAnsiTheme="minorHAnsi" w:cstheme="minorHAnsi"/>
                <w:color w:val="000000" w:themeColor="text1"/>
                <w:sz w:val="18"/>
                <w:szCs w:val="18"/>
              </w:rPr>
            </w:pPr>
            <w:r w:rsidRPr="00B90A9A">
              <w:rPr>
                <w:rFonts w:asciiTheme="minorHAnsi" w:hAnsiTheme="minorHAnsi" w:cstheme="minorHAnsi"/>
                <w:color w:val="000000" w:themeColor="text1"/>
                <w:sz w:val="18"/>
                <w:szCs w:val="18"/>
              </w:rPr>
              <w:t xml:space="preserve"> (ns) NR (respectively)</w:t>
            </w:r>
          </w:p>
        </w:tc>
        <w:tc>
          <w:tcPr>
            <w:tcW w:w="1130" w:type="dxa"/>
          </w:tcPr>
          <w:p w:rsidR="001E18A6" w:rsidRPr="00B90A9A" w:rsidRDefault="001E18A6" w:rsidP="008410D6">
            <w:pPr>
              <w:rPr>
                <w:rFonts w:asciiTheme="minorHAnsi" w:hAnsiTheme="minorHAnsi" w:cstheme="minorHAnsi"/>
                <w:color w:val="000000" w:themeColor="text1"/>
                <w:sz w:val="18"/>
                <w:szCs w:val="18"/>
              </w:rPr>
            </w:pPr>
            <w:r w:rsidRPr="00B90A9A">
              <w:rPr>
                <w:rFonts w:asciiTheme="minorHAnsi" w:hAnsiTheme="minorHAnsi" w:cstheme="minorHAnsi"/>
                <w:color w:val="000000" w:themeColor="text1"/>
                <w:sz w:val="18"/>
                <w:szCs w:val="18"/>
              </w:rPr>
              <w:t>NA</w:t>
            </w:r>
          </w:p>
        </w:tc>
        <w:tc>
          <w:tcPr>
            <w:tcW w:w="1321" w:type="dxa"/>
          </w:tcPr>
          <w:p w:rsidR="001E18A6" w:rsidRPr="00B90A9A" w:rsidRDefault="001E18A6" w:rsidP="008410D6">
            <w:pPr>
              <w:rPr>
                <w:rFonts w:asciiTheme="minorHAnsi" w:hAnsiTheme="minorHAnsi" w:cstheme="minorHAnsi"/>
                <w:color w:val="000000" w:themeColor="text1"/>
                <w:sz w:val="18"/>
                <w:szCs w:val="18"/>
              </w:rPr>
            </w:pPr>
            <w:r w:rsidRPr="00B90A9A">
              <w:rPr>
                <w:rFonts w:asciiTheme="minorHAnsi" w:hAnsiTheme="minorHAnsi" w:cstheme="minorHAnsi"/>
                <w:color w:val="000000" w:themeColor="text1"/>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Marks, 2011</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{"citationItems":[{"id":"ITEM-1","itemData":{"DOI":"10.1093/infdis/jir560","ISSN":"1537-6613","PMID":"21964399","abstract":"BACKGROUND Women diagnosed with cervical cancer report longer duration and more recent use of combined oral contraceptives (COCs). It is unclear how COC use impacts risk of cervical carcinogenesis. METHODS We estimated the risk of new human papillomavirus (HPV) DNA detection and persistence among 1135 human immunodeficiency virus (HIV)-negative women aged 20-37 years from Thailand who were followed for 18 months at 6-month intervals. Type-specific HPV DNA, demographic information, hormonal contraceptive use, sexual behavior, genital tract coinfection, and Papanicolaou test results were assessed at baseline and each follow-up. RESULTS Women who reported current COC use during follow-up were less likely to clear HPV infection compared with nonusers, independent of sexual behavior, and Papanicolaou test diagnosis (AHR: 0.67 [95% CI: .49-.93]). Similar associations were not observed among women reporting current use of depomedroxyprogesterone acetate (DMPA). Neither COC nor DMPA use was significantly associated with new HPV DNA detection. CONCLUSIONS These data do not support the hypothesis that contraceptive use is associated with cervical cancer risk via increased risk of HPV acquisition. The increased risk of HPV persistence observed among current COC users suggests a possible influence of female sex hormones on host response to HPV infection.","author":[{"dropping-particle":"","family":"Marks","given":"Morgan","non-dropping-particle":"","parse-names":false,"suffix":""},{"dropping-particle":"","family":"Gravitt","given":"Patti E.","non-dropping-particle":"","parse-names":false,"suffix":""},{"dropping-particle":"","family":"Gupta","given":"Swati B.","non-dropping-particle":"","parse-names":false,"suffix":""},{"dropping-particle":"","family":"Liaw","given":"Kai-Li","non-dropping-particle":"","parse-names":false,"suffix":""},{"dropping-particle":"","family":"Tadesse","given":"Amha","non-dropping-particle":"","parse-names":false,"suffix":""},{"dropping-particle":"","family":"Kim","given":"Esther","non-dropping-particle":"","parse-names":false,"suffix":""},{"dropping-particle":"","family":"Phongnarisorn","given":"Chailert","non-dropping-particle":"","parse-names":false,"suffix":""},{"dropping-particle":"","family":"Wootipoom","given":"Virach","non-dropping-particle":"","parse-names":false,"suffix":""},{"dropping-particle":"","family":"Yuenyao","given":"Pissimai","non-dropping-particle":"","parse-names":false,"suffix":""},{"dropping-particle":"","family":"Vipupinyo","given":"Charoen","non-dropping-particle":"","parse-names":false,"suffix":""},{"dropping-particle":"","family":"Sriplienchan","given":"Somchai","non-dropping-particle":"","parse-names":false,"suffix":""},{"dropping-particle":"","family":"Celentano","given":"David D.","non-dropping-particle":"","parse-names":false,"suffix":""}],"container-title":"The Journal of Infectious Diseases","id":"ITEM-1","issue":"10","issued":{"date-parts":[["2011","11","15"]]},"page":"1505-1513","title":"Combined oral contraceptive use increases HPV persistence but not new HPV detection in a cohort of women from Thailand","type":"article-journal","volume":"204"},"uris":["http://www.mendeley.com/documents/?uuid=30e7634c-73a6-39c8-b007-ec3057c4c118"]}],"mendeley":{"formattedCitation":"[41]","plainTextFormattedCitation":"[41]","previouslyFormattedCitation":"[41]"},"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[41]</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i/>
                <w:sz w:val="18"/>
                <w:szCs w:val="18"/>
              </w:rPr>
            </w:pPr>
            <w:r w:rsidRPr="00010F3C">
              <w:rPr>
                <w:rFonts w:asciiTheme="minorHAnsi" w:hAnsiTheme="minorHAnsi" w:cstheme="minorHAnsi"/>
                <w:sz w:val="18"/>
                <w:szCs w:val="18"/>
              </w:rPr>
              <w:t xml:space="preserve">1135, HIV-negative women ages 20-37 in Thailand, reporting no commercial sex work in past 6M and willing to adhere to self-selected contraceptive method for at least 1Y; </w:t>
            </w:r>
            <w:r w:rsidRPr="00010F3C">
              <w:rPr>
                <w:rFonts w:asciiTheme="minorHAnsi" w:hAnsiTheme="minorHAnsi" w:cstheme="minorHAnsi"/>
                <w:i/>
                <w:sz w:val="18"/>
                <w:szCs w:val="18"/>
              </w:rPr>
              <w:t>N=269 (8%) incident cases for any HPV, 157 (4.7%) incident HR</w:t>
            </w:r>
            <w:r>
              <w:rPr>
                <w:rFonts w:asciiTheme="minorHAnsi" w:hAnsiTheme="minorHAnsi" w:cstheme="minorHAnsi"/>
                <w:i/>
                <w:sz w:val="18"/>
                <w:szCs w:val="18"/>
              </w:rPr>
              <w:t>-</w:t>
            </w:r>
            <w:r w:rsidRPr="00010F3C">
              <w:rPr>
                <w:rFonts w:asciiTheme="minorHAnsi" w:hAnsiTheme="minorHAnsi" w:cstheme="minorHAnsi"/>
                <w:i/>
                <w:sz w:val="18"/>
                <w:szCs w:val="18"/>
              </w:rPr>
              <w:t>HPV cases</w:t>
            </w:r>
          </w:p>
        </w:tc>
        <w:tc>
          <w:tcPr>
            <w:tcW w:w="1669"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18M; 0M, 6M, 12M, 18M</w:t>
            </w:r>
          </w:p>
        </w:tc>
        <w:tc>
          <w:tcPr>
            <w:tcW w:w="2431" w:type="dxa"/>
          </w:tcPr>
          <w:p w:rsidR="001E18A6" w:rsidRDefault="001E18A6" w:rsidP="008410D6">
            <w:pPr>
              <w:rPr>
                <w:rFonts w:asciiTheme="minorHAnsi" w:hAnsiTheme="minorHAnsi" w:cstheme="minorHAnsi"/>
                <w:sz w:val="18"/>
                <w:szCs w:val="18"/>
              </w:rPr>
            </w:pPr>
            <w:proofErr w:type="spellStart"/>
            <w:r w:rsidRPr="00010F3C">
              <w:rPr>
                <w:rFonts w:asciiTheme="minorHAnsi" w:hAnsiTheme="minorHAnsi" w:cstheme="minorHAnsi"/>
                <w:sz w:val="18"/>
                <w:szCs w:val="18"/>
              </w:rPr>
              <w:t>QIAamp</w:t>
            </w:r>
            <w:proofErr w:type="spellEnd"/>
            <w:r w:rsidRPr="00010F3C">
              <w:rPr>
                <w:rFonts w:asciiTheme="minorHAnsi" w:hAnsiTheme="minorHAnsi" w:cstheme="minorHAnsi"/>
                <w:sz w:val="18"/>
                <w:szCs w:val="18"/>
              </w:rPr>
              <w:t xml:space="preserve"> DNA Blood Kit (Qiagen), HPV Linear Array</w:t>
            </w:r>
            <w:r>
              <w:rPr>
                <w:rFonts w:asciiTheme="minorHAnsi" w:hAnsiTheme="minorHAnsi" w:cstheme="minorHAnsi"/>
                <w:sz w:val="18"/>
                <w:szCs w:val="18"/>
              </w:rPr>
              <w:t xml:space="preserve">, </w:t>
            </w:r>
            <w:r w:rsidRPr="00010F3C">
              <w:rPr>
                <w:rFonts w:asciiTheme="minorHAnsi" w:hAnsiTheme="minorHAnsi" w:cstheme="minorHAnsi"/>
                <w:sz w:val="18"/>
                <w:szCs w:val="18"/>
              </w:rPr>
              <w:t>PCR assay (Roche Diagnostics)</w:t>
            </w:r>
          </w:p>
          <w:p w:rsidR="001E18A6" w:rsidRPr="00010F3C" w:rsidRDefault="001E18A6" w:rsidP="008410D6">
            <w:pPr>
              <w:rPr>
                <w:rFonts w:asciiTheme="minorHAnsi" w:hAnsiTheme="minorHAnsi" w:cstheme="minorHAnsi"/>
                <w:sz w:val="18"/>
                <w:szCs w:val="18"/>
              </w:rPr>
            </w:pPr>
          </w:p>
        </w:tc>
        <w:tc>
          <w:tcPr>
            <w:tcW w:w="185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Age, study site, # live births, male condom use P6M, age sexual debut, # lifetime partners, # partners P6M, smoking P6M, cervical cytology at enrollment and follow-up, BV at enrollment, prior STI infection, cervical ectopy</w:t>
            </w:r>
          </w:p>
          <w:p w:rsidR="001E18A6" w:rsidRPr="00010F3C" w:rsidRDefault="001E18A6" w:rsidP="008410D6">
            <w:pPr>
              <w:rPr>
                <w:rFonts w:asciiTheme="minorHAnsi" w:hAnsiTheme="minorHAnsi" w:cstheme="minorHAnsi"/>
                <w:sz w:val="18"/>
                <w:szCs w:val="18"/>
              </w:rPr>
            </w:pPr>
          </w:p>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Final model (empirical strategy): age, study site, # of lifetime and recent sexual partners, new sexual partner, concurrent BV, duration of HC use</w:t>
            </w:r>
          </w:p>
        </w:tc>
        <w:tc>
          <w:tcPr>
            <w:tcW w:w="1243"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Non</w:t>
            </w:r>
            <w:r>
              <w:rPr>
                <w:rFonts w:asciiTheme="minorHAnsi" w:hAnsiTheme="minorHAnsi" w:cstheme="minorHAnsi"/>
                <w:sz w:val="18"/>
                <w:szCs w:val="18"/>
              </w:rPr>
              <w:t xml:space="preserve">- hormonal </w:t>
            </w:r>
            <w:r w:rsidRPr="00010F3C">
              <w:rPr>
                <w:rFonts w:asciiTheme="minorHAnsi" w:hAnsiTheme="minorHAnsi" w:cstheme="minorHAnsi"/>
                <w:sz w:val="18"/>
                <w:szCs w:val="18"/>
              </w:rPr>
              <w:t>user during same interval of assessment</w:t>
            </w:r>
          </w:p>
        </w:tc>
        <w:tc>
          <w:tcPr>
            <w:tcW w:w="148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u w:val="single"/>
              </w:rPr>
              <w:t>COC on HPV (any type)</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1.27 (0.93, 1.74); </w:t>
            </w:r>
            <w:r w:rsidRPr="00010F3C">
              <w:rPr>
                <w:rFonts w:asciiTheme="minorHAnsi" w:hAnsiTheme="minorHAnsi" w:cstheme="minorHAnsi"/>
                <w:sz w:val="18"/>
                <w:szCs w:val="18"/>
                <w:u w:val="single"/>
              </w:rPr>
              <w:t>HR-HPV</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1.22 (0.81, 1.83)</w:t>
            </w:r>
          </w:p>
        </w:tc>
        <w:tc>
          <w:tcPr>
            <w:tcW w:w="113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u w:val="single"/>
              </w:rPr>
              <w:t>DMPA on HPV (any type)</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0.90 (0.63, 1.31), </w:t>
            </w:r>
            <w:r w:rsidRPr="00010F3C">
              <w:rPr>
                <w:rFonts w:asciiTheme="minorHAnsi" w:hAnsiTheme="minorHAnsi" w:cstheme="minorHAnsi"/>
                <w:sz w:val="18"/>
                <w:szCs w:val="18"/>
                <w:u w:val="single"/>
              </w:rPr>
              <w:t>HR-HPV</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0.87 (0.55, 1.35)</w:t>
            </w:r>
          </w:p>
        </w:tc>
        <w:tc>
          <w:tcPr>
            <w:tcW w:w="1321"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proofErr w:type="spellStart"/>
            <w:r w:rsidRPr="0014263A">
              <w:rPr>
                <w:rFonts w:asciiTheme="minorHAnsi" w:hAnsiTheme="minorHAnsi" w:cstheme="minorHAnsi"/>
                <w:sz w:val="18"/>
                <w:szCs w:val="18"/>
              </w:rPr>
              <w:t>Moscicki</w:t>
            </w:r>
            <w:proofErr w:type="spellEnd"/>
            <w:r>
              <w:rPr>
                <w:rFonts w:asciiTheme="minorHAnsi" w:hAnsiTheme="minorHAnsi" w:cstheme="minorHAnsi"/>
                <w:sz w:val="18"/>
                <w:szCs w:val="18"/>
              </w:rPr>
              <w:t xml:space="preserve"> 2001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{"citationItems":[{"id":"ITEM-1","itemData":{"ISSN":"0098-7484","PMID":"11410098","abstract":"CONTEXT Low-grade squamous intraepithelial lesions (LSILs) have been described as a benign cytological consequence of active human papillomavirus (HPV) replication. Several studies have reported that certain behavioral and biological risks exist for LSIL, suggesting that HPV alone is not sufficient for the development of LSIL. However, because most of these studies have been cross-sectional, it is not known whether behavioral and biological risks are simply risks for HPV infection itself. OBJECTIVE To prospectively examine risks of incident HPV infection in HPV-negative females and of incident LSIL development in females with HPV infection. DESIGN Prospective cohort study conducted between 1990-2000, with a median follow-up of 50 months. SETTING AND PARTICIPANTS Females aged 13 to 21 years who attended 2 family planning clinics in the San Francisco bay area; 496 had prevalent HPV infection and 105 were HPV-negative. MAIN OUTCOME MEASURE Incident development of HPV infection and LSIL, analyzed by various demographic, behavioral, and clinical risk factors. RESULTS Fifty-four incident HPV infections occurred in the 105 females who were HPV-negative at study entry (median duration of follow-up for those who remained HPV-negative was 26 months). Multivariable analysis showed that risks of HPV included sexual behavior (relative hazard [RH], 10.10; 95% confidence interval [CI], 3.24-31.50 per new partner per month), history of herpes simplex virus (RH, 3.54; 95% CI, 1.37-9.10), and history of vulvar warts (RH, 2.73; 95% CI, 1.27-5.87). Current use of oral contraceptives had a significantly protective effect (RH, 0.49; 95% CI, 0.28-0.86). Among the 496 individuals who were HPV-positive at baseline or in follow-up, there were 109 incident cases of LSIL during the follow-up interval, with a median follow-up time of 60 months for those who never developed LSIL. Human papillomavirus infection was the most significant risk factor for development of LSIL. The multivariable model showed the following risks for LSIL: HPV infection for less than 1 year (RH, 7.40; 95% CI, 4.74-11.57); HPV infection for 1 to 2 years (RH, 10.27; 95% CI, 5.64-18.69); HPV infection for 2 to 3 years (RH, 6.11; 95% CI, 1.86-20.06); and daily cigarette smoking (RH, 1.67; 95% CI, 1.12-2.48). CONCLUSION Our results indicate distinct risks for HPV and LSIL. In addition, most women with HPV infection in our study did not develop LSIL within a median follow-up period of 60 months. These findings und…","author":[{"dropping-particle":"","family":"Moscicki","given":"A B","non-dropping-particle":"","parse-names":false,"suffix":""},{"dropping-particle":"","family":"Hills","given":"N","non-dropping-particle":"","parse-names":false,"suffix":""},{"dropping-particle":"","family":"Shiboski","given":"S","non-dropping-particle":"","parse-names":false,"suffix":""},{"dropping-particle":"","family":"Powell","given":"K","non-dropping-particle":"","parse-names":false,"suffix":""},{"dropping-particle":"","family":"Jay","given":"N","non-dropping-particle":"","parse-names":false,"suffix":""},{"dropping-particle":"","family":"Hanson","given":"E","non-dropping-particle":"","parse-names":false,"suffix":""},{"dropping-particle":"","family":"Miller","given":"S","non-dropping-particle":"","parse-names":false,"suffix":""},{"dropping-particle":"","family":"Clayton","given":"L","non-dropping-particle":"","parse-names":false,"suffix":""},{"dropping-particle":"","family":"Farhat","given":"S","non-dropping-particle":"","parse-names":false,"suffix":""},{"dropping-particle":"","family":"Broering","given":"J","non-dropping-particle":"","parse-names":false,"suffix":""},{"dropping-particle":"","family":"Darragh","given":"T","non-dropping-particle":"","parse-names":false,"suffix":""},{"dropping-particle":"","family":"Palefsky","given":"J","non-dropping-particle":"","parse-names":false,"suffix":""}],"container-title":"JAMA","id":"ITEM-1","issue":"23","issued":{"date-parts":[["2001","6","20"]]},"page":"2995-3002","title":"Risks for incident human papillomavirus infection and low-grade squamous intraepithelial lesion development in young females.","type":"article-journal","volume":"285"},"uris":["http://www.mendeley.com/documents/?uuid=572cb43d-213b-3009-9454-ab709937646e"]}],"mendeley":{"formattedCitation":"[26]","plainTextFormattedCitation":"[26]","previouslyFormattedCitation":"[26]"},"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[26]</w:t>
            </w:r>
            <w:r>
              <w:rPr>
                <w:rFonts w:asciiTheme="minorHAnsi" w:hAnsiTheme="minorHAnsi" w:cstheme="minorHAnsi"/>
                <w:sz w:val="18"/>
                <w:szCs w:val="18"/>
              </w:rPr>
              <w:fldChar w:fldCharType="end"/>
            </w:r>
          </w:p>
        </w:tc>
        <w:tc>
          <w:tcPr>
            <w:tcW w:w="2028" w:type="dxa"/>
          </w:tcPr>
          <w:p w:rsidR="001E18A6" w:rsidRPr="00F77DB6" w:rsidRDefault="001E18A6" w:rsidP="008410D6">
            <w:pPr>
              <w:rPr>
                <w:rFonts w:asciiTheme="minorHAnsi" w:hAnsiTheme="minorHAnsi" w:cstheme="minorHAnsi"/>
                <w:i/>
                <w:sz w:val="18"/>
                <w:szCs w:val="18"/>
              </w:rPr>
            </w:pPr>
            <w:r>
              <w:rPr>
                <w:rFonts w:asciiTheme="minorHAnsi" w:hAnsiTheme="minorHAnsi" w:cstheme="minorHAnsi"/>
                <w:sz w:val="18"/>
                <w:szCs w:val="18"/>
              </w:rPr>
              <w:t xml:space="preserve">105, women aged 13 to 21 attending 2 family planning clinics in San Francisco, USA; </w:t>
            </w:r>
            <w:r>
              <w:rPr>
                <w:rFonts w:asciiTheme="minorHAnsi" w:hAnsiTheme="minorHAnsi" w:cstheme="minorHAnsi"/>
                <w:i/>
                <w:sz w:val="18"/>
                <w:szCs w:val="18"/>
              </w:rPr>
              <w:t xml:space="preserve">N=54 incident cases </w:t>
            </w:r>
          </w:p>
        </w:tc>
        <w:tc>
          <w:tcPr>
            <w:tcW w:w="1669"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Median follow-up: 50M [IQR: 23-79M]; ~4-6M (9 median visits, IQR: 4-15)</w:t>
            </w:r>
          </w:p>
        </w:tc>
        <w:tc>
          <w:tcPr>
            <w:tcW w:w="2431" w:type="dxa"/>
          </w:tcPr>
          <w:p w:rsidR="001E18A6" w:rsidRDefault="001E18A6" w:rsidP="008410D6">
            <w:pPr>
              <w:rPr>
                <w:rFonts w:asciiTheme="minorHAnsi" w:hAnsiTheme="minorHAnsi" w:cstheme="minorHAnsi"/>
                <w:color w:val="000000"/>
                <w:sz w:val="18"/>
                <w:szCs w:val="18"/>
              </w:rPr>
            </w:pPr>
            <w:r>
              <w:rPr>
                <w:rFonts w:asciiTheme="minorHAnsi" w:hAnsiTheme="minorHAnsi" w:cstheme="minorHAnsi"/>
                <w:sz w:val="18"/>
                <w:szCs w:val="18"/>
              </w:rPr>
              <w:t xml:space="preserve">PCR assay; </w:t>
            </w:r>
            <w:r w:rsidRPr="00010F3C">
              <w:rPr>
                <w:rFonts w:asciiTheme="minorHAnsi" w:hAnsiTheme="minorHAnsi" w:cstheme="minorHAnsi"/>
                <w:color w:val="000000"/>
                <w:sz w:val="18"/>
                <w:szCs w:val="18"/>
              </w:rPr>
              <w:t>B-globin control</w:t>
            </w:r>
            <w:r>
              <w:rPr>
                <w:rFonts w:asciiTheme="minorHAnsi" w:hAnsiTheme="minorHAnsi" w:cstheme="minorHAnsi"/>
                <w:color w:val="000000"/>
                <w:sz w:val="18"/>
                <w:szCs w:val="18"/>
              </w:rPr>
              <w:t>; dot blot and Roche reverse blot method (Roche Molecular Systems)</w:t>
            </w:r>
          </w:p>
          <w:p w:rsidR="001E18A6" w:rsidRPr="00010F3C" w:rsidRDefault="001E18A6" w:rsidP="008410D6">
            <w:pPr>
              <w:rPr>
                <w:rFonts w:asciiTheme="minorHAnsi" w:hAnsiTheme="minorHAnsi" w:cstheme="minorHAnsi"/>
                <w:sz w:val="18"/>
                <w:szCs w:val="18"/>
              </w:rPr>
            </w:pPr>
          </w:p>
        </w:tc>
        <w:tc>
          <w:tcPr>
            <w:tcW w:w="1850" w:type="dxa"/>
          </w:tcPr>
          <w:p w:rsidR="001E18A6" w:rsidRDefault="001E18A6" w:rsidP="008410D6">
            <w:pPr>
              <w:rPr>
                <w:rFonts w:asciiTheme="minorHAnsi" w:hAnsiTheme="minorHAnsi" w:cstheme="minorHAnsi"/>
                <w:sz w:val="18"/>
                <w:szCs w:val="18"/>
              </w:rPr>
            </w:pPr>
            <w:r>
              <w:rPr>
                <w:rFonts w:asciiTheme="minorHAnsi" w:hAnsiTheme="minorHAnsi" w:cstheme="minorHAnsi"/>
                <w:sz w:val="18"/>
                <w:szCs w:val="18"/>
              </w:rPr>
              <w:t>Rate of new partners per month since last visit, history of HSV, history of vulvar warts, lifetime sexual partners, marijuana use</w:t>
            </w:r>
          </w:p>
          <w:p w:rsidR="001E18A6" w:rsidRDefault="001E18A6" w:rsidP="008410D6">
            <w:pPr>
              <w:rPr>
                <w:rFonts w:asciiTheme="minorHAnsi" w:hAnsiTheme="minorHAnsi" w:cstheme="minorHAnsi"/>
                <w:sz w:val="18"/>
                <w:szCs w:val="18"/>
              </w:rPr>
            </w:pPr>
          </w:p>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lastRenderedPageBreak/>
              <w:t>Final model: rate of new partners per month since last visit, history of HSV, history of vulvar warts.</w:t>
            </w:r>
          </w:p>
        </w:tc>
        <w:tc>
          <w:tcPr>
            <w:tcW w:w="1243"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lastRenderedPageBreak/>
              <w:t>Non-current OCP user</w:t>
            </w:r>
          </w:p>
        </w:tc>
        <w:tc>
          <w:tcPr>
            <w:tcW w:w="1488" w:type="dxa"/>
          </w:tcPr>
          <w:p w:rsidR="001E18A6" w:rsidRPr="00010F3C" w:rsidRDefault="001E18A6" w:rsidP="008410D6">
            <w:pPr>
              <w:rPr>
                <w:rFonts w:asciiTheme="minorHAnsi" w:hAnsiTheme="minorHAnsi" w:cstheme="minorHAnsi"/>
                <w:sz w:val="18"/>
                <w:szCs w:val="18"/>
                <w:u w:val="single"/>
              </w:rPr>
            </w:pPr>
            <w:r>
              <w:rPr>
                <w:rFonts w:asciiTheme="minorHAnsi" w:hAnsiTheme="minorHAnsi" w:cstheme="minorHAnsi"/>
                <w:sz w:val="18"/>
                <w:szCs w:val="18"/>
                <w:u w:val="single"/>
              </w:rPr>
              <w:t xml:space="preserve">OCP on HPV (any type) </w:t>
            </w:r>
            <w:proofErr w:type="spellStart"/>
            <w:r>
              <w:rPr>
                <w:rFonts w:asciiTheme="minorHAnsi" w:hAnsiTheme="minorHAnsi" w:cstheme="minorHAnsi"/>
                <w:sz w:val="18"/>
                <w:szCs w:val="18"/>
                <w:u w:val="single"/>
              </w:rPr>
              <w:t>a</w:t>
            </w:r>
            <w:r w:rsidRPr="003C66E3">
              <w:rPr>
                <w:rFonts w:asciiTheme="minorHAnsi" w:hAnsiTheme="minorHAnsi" w:cstheme="minorHAnsi"/>
                <w:sz w:val="18"/>
                <w:szCs w:val="18"/>
                <w:u w:val="single"/>
              </w:rPr>
              <w:t>HR</w:t>
            </w:r>
            <w:proofErr w:type="spellEnd"/>
            <w:r w:rsidRPr="003C66E3">
              <w:rPr>
                <w:rFonts w:asciiTheme="minorHAnsi" w:hAnsiTheme="minorHAnsi" w:cstheme="minorHAnsi"/>
                <w:sz w:val="18"/>
                <w:szCs w:val="18"/>
                <w:u w:val="single"/>
              </w:rPr>
              <w:t xml:space="preserve"> 0.</w:t>
            </w:r>
            <w:r>
              <w:rPr>
                <w:rFonts w:asciiTheme="minorHAnsi" w:hAnsiTheme="minorHAnsi" w:cstheme="minorHAnsi"/>
                <w:sz w:val="18"/>
                <w:szCs w:val="18"/>
                <w:u w:val="single"/>
              </w:rPr>
              <w:t>49 (</w:t>
            </w:r>
            <w:r w:rsidRPr="003C66E3">
              <w:rPr>
                <w:rFonts w:asciiTheme="minorHAnsi" w:hAnsiTheme="minorHAnsi" w:cstheme="minorHAnsi"/>
                <w:sz w:val="18"/>
                <w:szCs w:val="18"/>
                <w:u w:val="single"/>
              </w:rPr>
              <w:t>0.</w:t>
            </w:r>
            <w:r>
              <w:rPr>
                <w:rFonts w:asciiTheme="minorHAnsi" w:hAnsiTheme="minorHAnsi" w:cstheme="minorHAnsi"/>
                <w:sz w:val="18"/>
                <w:szCs w:val="18"/>
                <w:u w:val="single"/>
              </w:rPr>
              <w:t xml:space="preserve">28, </w:t>
            </w:r>
            <w:proofErr w:type="gramStart"/>
            <w:r w:rsidRPr="003C66E3">
              <w:rPr>
                <w:rFonts w:asciiTheme="minorHAnsi" w:hAnsiTheme="minorHAnsi" w:cstheme="minorHAnsi"/>
                <w:sz w:val="18"/>
                <w:szCs w:val="18"/>
                <w:u w:val="single"/>
              </w:rPr>
              <w:t>0.</w:t>
            </w:r>
            <w:r>
              <w:rPr>
                <w:rFonts w:asciiTheme="minorHAnsi" w:hAnsiTheme="minorHAnsi" w:cstheme="minorHAnsi"/>
                <w:sz w:val="18"/>
                <w:szCs w:val="18"/>
                <w:u w:val="single"/>
              </w:rPr>
              <w:t>86)*</w:t>
            </w:r>
            <w:proofErr w:type="gramEnd"/>
          </w:p>
        </w:tc>
        <w:tc>
          <w:tcPr>
            <w:tcW w:w="1130" w:type="dxa"/>
          </w:tcPr>
          <w:p w:rsidR="001E18A6" w:rsidRPr="00010F3C" w:rsidRDefault="001E18A6" w:rsidP="008410D6">
            <w:pPr>
              <w:rPr>
                <w:rFonts w:asciiTheme="minorHAnsi" w:hAnsiTheme="minorHAnsi" w:cstheme="minorHAnsi"/>
                <w:sz w:val="18"/>
                <w:szCs w:val="18"/>
                <w:u w:val="single"/>
              </w:rPr>
            </w:pPr>
            <w:r>
              <w:rPr>
                <w:rFonts w:asciiTheme="minorHAnsi" w:hAnsiTheme="minorHAnsi" w:cstheme="minorHAnsi"/>
                <w:sz w:val="18"/>
                <w:szCs w:val="18"/>
                <w:u w:val="single"/>
              </w:rPr>
              <w:t>NA</w:t>
            </w:r>
          </w:p>
        </w:tc>
        <w:tc>
          <w:tcPr>
            <w:tcW w:w="1321"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Nielsen,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{"citationItems":[{"id":"ITEM-1","itemData":{"DOI":"10.1097/OLQ.0b013e3181a96d0e","ISSN":"0148-5717","PMID":"19955872","abstract":"BACKGROUND Human papillomavirus (HPV) is the cause of cervical cancer. To better understand the natural history of HPV, we assessed the incidence of type-specific HPV infection and examined risk factors for acquisition of high-risk (HR) HPV infection in Danish women. METHODS A population-based prospective cohort study of women aged 20 to 29 years was conducted. Participants were interviewed and underwent 2 gynaecological examinations 2 years apart. Women for whom Hybrid Capture 2 results were available at both visits were included in the analysis (n = 7454). RESULTS A HR HPV infection was acquired by 12.8% of the women during follow-up. The incidence decreased with increasing age. The commonest types were HPV16, HPV31, and HPV52. HPV66, HPV58, and HPV53 were mainly acquired with other HR types. Multiple HR types were acquired in 50% of the women who became HPV-positive during follow-up. In initially HPV-negative women age, number of sexual partners, and oral contraceptive use were the main risk factors for acquisition, particularly of multiple HR HPV types. CONCLUSIONS HPV infections were commonly acquired. We confirmed the sexually transmitted nature of the infection. Our findings show that both the level of potential exposure and other behavioral factors increase the risk for HR HPV acquisition.","author":[{"dropping-particle":"","family":"Nielsen","given":"Ann","non-dropping-particle":"","parse-names":false,"suffix":""},{"dropping-particle":"","family":"Iftner","given":"Thomas","non-dropping-particle":"","parse-names":false,"suffix":""},{"dropping-particle":"","family":"Munk","given":"Christian","non-dropping-particle":"","parse-names":false,"suffix":""},{"dropping-particle":"","family":"Kjaer","given":"Susanne K.","non-dropping-particle":"","parse-names":false,"suffix":""}],"container-title":"Sexually Transmitted Diseases","id":"ITEM-1","issue":"10","issued":{"date-parts":[["2009","10"]]},"page":"609-615","title":"Acquisition of high-risk human papillomavirus infection in a population-based cohort of Danish women","type":"article-journal","volume":"36"},"uris":["http://www.mendeley.com/documents/?uuid=887614f6-4458-3660-8eb4-44ba09649a0c"]}],"mendeley":{"formattedCitation":"[42]","plainTextFormattedCitation":"[42]","previouslyFormattedCitation":"[42]"},"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[42]</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i/>
                <w:sz w:val="18"/>
                <w:szCs w:val="18"/>
              </w:rPr>
            </w:pPr>
            <w:r w:rsidRPr="00010F3C">
              <w:rPr>
                <w:rFonts w:asciiTheme="minorHAnsi" w:hAnsiTheme="minorHAnsi" w:cstheme="minorHAnsi"/>
                <w:sz w:val="18"/>
                <w:szCs w:val="18"/>
              </w:rPr>
              <w:t xml:space="preserve">6246, women aged 20-29 in Copenhagen, Denmark, randomly sampled from general population; </w:t>
            </w:r>
            <w:r w:rsidRPr="00010F3C">
              <w:rPr>
                <w:rFonts w:asciiTheme="minorHAnsi" w:hAnsiTheme="minorHAnsi" w:cstheme="minorHAnsi"/>
                <w:i/>
                <w:sz w:val="18"/>
                <w:szCs w:val="18"/>
              </w:rPr>
              <w:t>N=</w:t>
            </w:r>
            <w:r w:rsidRPr="00010F3C">
              <w:rPr>
                <w:rFonts w:asciiTheme="minorHAnsi" w:hAnsiTheme="minorHAnsi" w:cstheme="minorHAnsi"/>
                <w:sz w:val="18"/>
                <w:szCs w:val="18"/>
              </w:rPr>
              <w:t xml:space="preserve"> 798</w:t>
            </w:r>
            <w:r w:rsidRPr="00010F3C">
              <w:rPr>
                <w:rFonts w:asciiTheme="minorHAnsi" w:hAnsiTheme="minorHAnsi" w:cstheme="minorHAnsi"/>
                <w:i/>
                <w:sz w:val="18"/>
                <w:szCs w:val="18"/>
              </w:rPr>
              <w:t xml:space="preserve"> (12.8%) HR-HPV incident cases</w:t>
            </w:r>
          </w:p>
        </w:tc>
        <w:tc>
          <w:tcPr>
            <w:tcW w:w="1669"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2Y; 0M and 2Y</w:t>
            </w:r>
            <w:r>
              <w:rPr>
                <w:rFonts w:asciiTheme="minorHAnsi" w:hAnsiTheme="minorHAnsi" w:cstheme="minorHAnsi"/>
                <w:sz w:val="18"/>
                <w:szCs w:val="18"/>
                <w:vertAlign w:val="superscript"/>
              </w:rPr>
              <w:t>e</w:t>
            </w:r>
          </w:p>
          <w:p w:rsidR="001E18A6" w:rsidRPr="00010F3C" w:rsidRDefault="001E18A6" w:rsidP="008410D6">
            <w:pPr>
              <w:rPr>
                <w:rFonts w:asciiTheme="minorHAnsi" w:hAnsiTheme="minorHAnsi" w:cstheme="minorHAnsi"/>
                <w:sz w:val="18"/>
                <w:szCs w:val="18"/>
              </w:rPr>
            </w:pPr>
          </w:p>
          <w:p w:rsidR="001E18A6" w:rsidRPr="00010F3C" w:rsidRDefault="001E18A6" w:rsidP="008410D6">
            <w:pPr>
              <w:rPr>
                <w:rFonts w:asciiTheme="minorHAnsi" w:hAnsiTheme="minorHAnsi" w:cstheme="minorHAnsi"/>
                <w:sz w:val="18"/>
                <w:szCs w:val="18"/>
              </w:rPr>
            </w:pPr>
          </w:p>
        </w:tc>
        <w:tc>
          <w:tcPr>
            <w:tcW w:w="2431" w:type="dxa"/>
          </w:tcPr>
          <w:p w:rsidR="001E18A6" w:rsidRDefault="001E18A6" w:rsidP="008410D6">
            <w:pPr>
              <w:rPr>
                <w:rFonts w:asciiTheme="minorHAnsi" w:hAnsiTheme="minorHAnsi" w:cstheme="minorHAnsi"/>
                <w:color w:val="000000"/>
                <w:sz w:val="18"/>
                <w:szCs w:val="18"/>
              </w:rPr>
            </w:pPr>
            <w:r w:rsidRPr="00010F3C">
              <w:rPr>
                <w:rFonts w:asciiTheme="minorHAnsi" w:hAnsiTheme="minorHAnsi" w:cstheme="minorHAnsi"/>
                <w:color w:val="000000"/>
                <w:sz w:val="18"/>
                <w:szCs w:val="18"/>
              </w:rPr>
              <w:t xml:space="preserve">Hybrid Capture 2 and </w:t>
            </w:r>
            <w:proofErr w:type="spellStart"/>
            <w:r w:rsidRPr="00010F3C">
              <w:rPr>
                <w:rFonts w:asciiTheme="minorHAnsi" w:hAnsiTheme="minorHAnsi" w:cstheme="minorHAnsi"/>
                <w:color w:val="000000"/>
                <w:sz w:val="18"/>
                <w:szCs w:val="18"/>
              </w:rPr>
              <w:t>LiPA</w:t>
            </w:r>
            <w:proofErr w:type="spellEnd"/>
            <w:r w:rsidRPr="00010F3C">
              <w:rPr>
                <w:rFonts w:asciiTheme="minorHAnsi" w:hAnsiTheme="minorHAnsi" w:cstheme="minorHAnsi"/>
                <w:color w:val="000000"/>
                <w:sz w:val="18"/>
                <w:szCs w:val="18"/>
              </w:rPr>
              <w:t xml:space="preserve"> V2 PCR assay (</w:t>
            </w:r>
            <w:proofErr w:type="spellStart"/>
            <w:r w:rsidRPr="00010F3C">
              <w:rPr>
                <w:rFonts w:asciiTheme="minorHAnsi" w:hAnsiTheme="minorHAnsi" w:cstheme="minorHAnsi"/>
                <w:color w:val="000000"/>
                <w:sz w:val="18"/>
                <w:szCs w:val="18"/>
              </w:rPr>
              <w:t>Innogenetics</w:t>
            </w:r>
            <w:proofErr w:type="spellEnd"/>
            <w:r w:rsidRPr="00010F3C">
              <w:rPr>
                <w:rFonts w:asciiTheme="minorHAnsi" w:hAnsiTheme="minorHAnsi" w:cstheme="minorHAnsi"/>
                <w:color w:val="000000"/>
                <w:sz w:val="18"/>
                <w:szCs w:val="18"/>
              </w:rPr>
              <w:t>); B-globin control</w:t>
            </w:r>
          </w:p>
          <w:p w:rsidR="001E18A6" w:rsidRDefault="001E18A6" w:rsidP="008410D6">
            <w:pPr>
              <w:rPr>
                <w:rFonts w:asciiTheme="minorHAnsi" w:hAnsiTheme="minorHAnsi" w:cstheme="minorHAnsi"/>
                <w:color w:val="000000"/>
                <w:sz w:val="18"/>
                <w:szCs w:val="18"/>
              </w:rPr>
            </w:pPr>
          </w:p>
          <w:p w:rsidR="001E18A6" w:rsidRPr="00E24D15" w:rsidRDefault="001E18A6" w:rsidP="008410D6">
            <w:pPr>
              <w:keepNext/>
              <w:keepLines/>
              <w:autoSpaceDE w:val="0"/>
              <w:autoSpaceDN w:val="0"/>
              <w:adjustRightInd w:val="0"/>
              <w:spacing w:before="200"/>
              <w:outlineLvl w:val="6"/>
              <w:rPr>
                <w:rFonts w:asciiTheme="minorHAnsi" w:eastAsiaTheme="minorHAnsi" w:hAnsiTheme="minorHAnsi" w:cstheme="minorHAnsi"/>
                <w:sz w:val="18"/>
                <w:szCs w:val="18"/>
              </w:rPr>
            </w:pPr>
          </w:p>
        </w:tc>
        <w:tc>
          <w:tcPr>
            <w:tcW w:w="185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 xml:space="preserve">Age, # sexual partners, marital status, self-reported history of chlamydia, self-reported history of genital warts, parity, current condom use, amount of smoking </w:t>
            </w:r>
          </w:p>
          <w:p w:rsidR="001E18A6" w:rsidRPr="00010F3C" w:rsidRDefault="001E18A6" w:rsidP="008410D6">
            <w:pPr>
              <w:rPr>
                <w:rFonts w:asciiTheme="minorHAnsi" w:hAnsiTheme="minorHAnsi" w:cstheme="minorHAnsi"/>
                <w:sz w:val="18"/>
                <w:szCs w:val="18"/>
              </w:rPr>
            </w:pPr>
          </w:p>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Final model (empirical strategy): age, # of sexual partners during follow-up, marital status, interaction between marital status and number of sexual partners during follow-up</w:t>
            </w:r>
          </w:p>
        </w:tc>
        <w:tc>
          <w:tcPr>
            <w:tcW w:w="1243"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Current non-</w:t>
            </w:r>
            <w:r w:rsidRPr="00010F3C">
              <w:rPr>
                <w:rFonts w:asciiTheme="minorHAnsi" w:hAnsiTheme="minorHAnsi" w:cstheme="minorHAnsi"/>
                <w:sz w:val="18"/>
                <w:szCs w:val="18"/>
              </w:rPr>
              <w:t xml:space="preserve"> </w:t>
            </w:r>
            <w:r>
              <w:rPr>
                <w:rFonts w:asciiTheme="minorHAnsi" w:hAnsiTheme="minorHAnsi" w:cstheme="minorHAnsi"/>
                <w:sz w:val="18"/>
                <w:szCs w:val="18"/>
              </w:rPr>
              <w:t xml:space="preserve">hormonal </w:t>
            </w:r>
            <w:r w:rsidRPr="00010F3C">
              <w:rPr>
                <w:rFonts w:asciiTheme="minorHAnsi" w:hAnsiTheme="minorHAnsi" w:cstheme="minorHAnsi"/>
                <w:sz w:val="18"/>
                <w:szCs w:val="18"/>
              </w:rPr>
              <w:t xml:space="preserve">user </w:t>
            </w:r>
          </w:p>
        </w:tc>
        <w:tc>
          <w:tcPr>
            <w:tcW w:w="148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u w:val="single"/>
              </w:rPr>
              <w:t>OC</w:t>
            </w:r>
            <w:r>
              <w:rPr>
                <w:rFonts w:asciiTheme="minorHAnsi" w:hAnsiTheme="minorHAnsi" w:cstheme="minorHAnsi"/>
                <w:sz w:val="18"/>
                <w:szCs w:val="18"/>
                <w:u w:val="single"/>
              </w:rPr>
              <w:t>P</w:t>
            </w:r>
            <w:r w:rsidRPr="00010F3C">
              <w:rPr>
                <w:rFonts w:asciiTheme="minorHAnsi" w:hAnsiTheme="minorHAnsi" w:cstheme="minorHAnsi"/>
                <w:sz w:val="18"/>
                <w:szCs w:val="18"/>
                <w:u w:val="single"/>
              </w:rPr>
              <w:t xml:space="preserve"> on HR-HPV: </w:t>
            </w:r>
            <m:oMath>
              <m:r>
                <w:rPr>
                  <w:rFonts w:ascii="Cambria Math" w:hAnsi="Cambria Math" w:cstheme="minorHAnsi"/>
                  <w:sz w:val="18"/>
                  <w:szCs w:val="18"/>
                  <w:u w:val="single"/>
                </w:rPr>
                <m:t>≤</m:t>
              </m:r>
            </m:oMath>
            <w:r w:rsidRPr="00010F3C">
              <w:rPr>
                <w:rFonts w:asciiTheme="minorHAnsi" w:hAnsiTheme="minorHAnsi" w:cstheme="minorHAnsi"/>
                <w:sz w:val="18"/>
                <w:szCs w:val="18"/>
                <w:u w:val="single"/>
              </w:rPr>
              <w:t>2Yr</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1.01 (0.68, 1.50), </w:t>
            </w:r>
            <w:r w:rsidRPr="00010F3C">
              <w:rPr>
                <w:rFonts w:asciiTheme="minorHAnsi" w:hAnsiTheme="minorHAnsi" w:cstheme="minorHAnsi"/>
                <w:sz w:val="18"/>
                <w:szCs w:val="18"/>
                <w:u w:val="single"/>
              </w:rPr>
              <w:t>3-4Yr</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1.39 (0.98, 1.99</w:t>
            </w:r>
            <w:r w:rsidRPr="00010F3C">
              <w:rPr>
                <w:rFonts w:asciiTheme="minorHAnsi" w:hAnsiTheme="minorHAnsi" w:cstheme="minorHAnsi"/>
                <w:sz w:val="18"/>
                <w:szCs w:val="18"/>
                <w:u w:val="single"/>
              </w:rPr>
              <w:t xml:space="preserve">); 5-6Yr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1.44 (1.00, 2.07); </w:t>
            </w:r>
            <w:r w:rsidRPr="00010F3C">
              <w:rPr>
                <w:rFonts w:asciiTheme="minorHAnsi" w:hAnsiTheme="minorHAnsi" w:cstheme="minorHAnsi"/>
                <w:sz w:val="18"/>
                <w:szCs w:val="18"/>
                <w:u w:val="single"/>
              </w:rPr>
              <w:t xml:space="preserve">7+Yr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1.66 (1.17, </w:t>
            </w:r>
            <w:proofErr w:type="gramStart"/>
            <w:r w:rsidRPr="00010F3C">
              <w:rPr>
                <w:rFonts w:asciiTheme="minorHAnsi" w:hAnsiTheme="minorHAnsi" w:cstheme="minorHAnsi"/>
                <w:sz w:val="18"/>
                <w:szCs w:val="18"/>
              </w:rPr>
              <w:t>2.35)*</w:t>
            </w:r>
            <w:proofErr w:type="gramEnd"/>
            <w:r w:rsidRPr="00010F3C">
              <w:rPr>
                <w:rFonts w:asciiTheme="minorHAnsi" w:hAnsiTheme="minorHAnsi" w:cstheme="minorHAnsi"/>
                <w:sz w:val="18"/>
                <w:szCs w:val="18"/>
              </w:rPr>
              <w:t xml:space="preserve">, </w:t>
            </w:r>
            <w:r w:rsidRPr="00010F3C">
              <w:rPr>
                <w:rFonts w:asciiTheme="minorHAnsi" w:hAnsiTheme="minorHAnsi" w:cstheme="minorHAnsi"/>
                <w:sz w:val="18"/>
                <w:szCs w:val="18"/>
                <w:u w:val="single"/>
              </w:rPr>
              <w:t xml:space="preserve">Per </w:t>
            </w:r>
            <w:proofErr w:type="spellStart"/>
            <w:r w:rsidRPr="00010F3C">
              <w:rPr>
                <w:rFonts w:asciiTheme="minorHAnsi" w:hAnsiTheme="minorHAnsi" w:cstheme="minorHAnsi"/>
                <w:sz w:val="18"/>
                <w:szCs w:val="18"/>
                <w:u w:val="single"/>
              </w:rPr>
              <w:t>Yr</w:t>
            </w:r>
            <w:proofErr w:type="spellEnd"/>
            <w:r w:rsidRPr="00010F3C">
              <w:rPr>
                <w:rFonts w:asciiTheme="minorHAnsi" w:hAnsiTheme="minorHAnsi" w:cstheme="minorHAnsi"/>
                <w:sz w:val="18"/>
                <w:szCs w:val="18"/>
              </w:rPr>
              <w:t>): 1.04 (0.98, 1.10)</w:t>
            </w:r>
          </w:p>
          <w:p w:rsidR="001E18A6" w:rsidRPr="00010F3C" w:rsidRDefault="001E18A6" w:rsidP="008410D6">
            <w:pPr>
              <w:rPr>
                <w:rFonts w:asciiTheme="minorHAnsi" w:hAnsiTheme="minorHAnsi" w:cstheme="minorHAnsi"/>
                <w:color w:val="FF0000"/>
                <w:sz w:val="18"/>
                <w:szCs w:val="18"/>
              </w:rPr>
            </w:pPr>
          </w:p>
        </w:tc>
        <w:tc>
          <w:tcPr>
            <w:tcW w:w="113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c>
          <w:tcPr>
            <w:tcW w:w="1321"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Phelan,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{"citationItems":[{"id":"ITEM-1","itemData":{"DOI":"10.1097/OLQ.0b013e31818d3df3","ISSN":"1537-4521","PMID":"19174735","abstract":"BACKGROUND We sought to identify factors associated with newly detected human papillomavirus (HPV) infection in a high-risk cohort of injection drug using women in Baltimore, MD. METHODS We studied 146 HIV-infected and 73 HIV-uninfected female participants in a 5-year prospective HIV natural history study. We examined the association of sexual and nonsexual risk factors and newly detected type-specific HPV infection as determined by consensus PCR between consecutive visits. RESULTS Newly detected HPV was more common among HIV-infected versus HIV-uninfected women (30% and 6%, respectively; P &lt;0.01). Among the entire cohort, recent crack use (OR, 1.7; 95% CI, 1.1-2.6) and HIV infection/CD4 cell count were independent predictors for new HPV detection (HIV-uninfected as reference, OR, 4.6; 95% CI, 2.3-8.9, OR, 5.4; 95% CI, 2.8-10.3, and OR, 10.9; 95% CI, 5.5-21.7 for HIV-infected CD4 &gt;500, 200-500, and &lt;200, respectively). Among HIV-uninfected women, recent marijuana use was an independent predictor of newly detected HPV infection (OR, 3.5; 95% CI, 1.3-9.5). CONCLUSIONS Newly detected HPV clearly increased with greater immunosuppression in HIV-infected injection drug users. Larger studies of HIV-uninfected and infected high-risk individuals are needed to clarify the independent associations of crack and marijuana use with new (or reactivated) HPV infection.","author":[{"dropping-particle":"","family":"Phelan","given":"Darcy F","non-dropping-particle":"","parse-names":false,"suffix":""},{"dropping-particle":"","family":"Gange","given":"Stephen J","non-dropping-particle":"","parse-names":false,"suffix":""},{"dropping-particle":"","family":"Ahdieh-Grant","given":"Linda","non-dropping-particle":"","parse-names":false,"suffix":""},{"dropping-particle":"","family":"Mehta","given":"Shruti H","non-dropping-particle":"","parse-names":false,"suffix":""},{"dropping-particle":"","family":"Kirk","given":"Gregory D","non-dropping-particle":"","parse-names":false,"suffix":""},{"dropping-particle":"","family":"Shah","given":"Keerti","non-dropping-particle":"","parse-names":false,"suffix":""},{"dropping-particle":"","family":"Gravitt","given":"Patti","non-dropping-particle":"","parse-names":false,"suffix":""}],"container-title":"Sexually transmitted diseases","id":"ITEM-1","issue":"3","issued":{"date-parts":[["2009"]]},"page":"149-56","title":"Determinants of newly detected human papillomavirus infection in HIV-infected and HIV-uninfected injection drug using women","type":"article-journal","volume":"36"},"uris":["http://www.mendeley.com/documents/?uuid=a337f909-6c6e-3903-acd2-587218c7e335"]}],"mendeley":{"formattedCitation":"[43]","plainTextFormattedCitation":"[43]","previouslyFormattedCitation":"[43]"},"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[43]</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i/>
                <w:sz w:val="18"/>
                <w:szCs w:val="18"/>
              </w:rPr>
            </w:pPr>
            <w:r w:rsidRPr="00010F3C">
              <w:rPr>
                <w:rFonts w:asciiTheme="minorHAnsi" w:hAnsiTheme="minorHAnsi" w:cstheme="minorHAnsi"/>
                <w:sz w:val="18"/>
                <w:szCs w:val="18"/>
              </w:rPr>
              <w:t xml:space="preserve">220, HIV+ and HIV women ages 18+ who reported injection drug use in past 10 years in Baltimore, USA; Mean age 37 (SD 6.6); </w:t>
            </w:r>
            <w:r w:rsidRPr="00010F3C">
              <w:rPr>
                <w:rFonts w:asciiTheme="minorHAnsi" w:hAnsiTheme="minorHAnsi" w:cstheme="minorHAnsi"/>
                <w:i/>
                <w:sz w:val="18"/>
                <w:szCs w:val="18"/>
              </w:rPr>
              <w:t>Detection of new type-specific HPV cases 22% of 775 visits</w:t>
            </w:r>
          </w:p>
        </w:tc>
        <w:tc>
          <w:tcPr>
            <w:tcW w:w="1669"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5Y; 0M and every 6M</w:t>
            </w:r>
          </w:p>
        </w:tc>
        <w:tc>
          <w:tcPr>
            <w:tcW w:w="2431" w:type="dxa"/>
          </w:tcPr>
          <w:p w:rsidR="001E18A6" w:rsidRPr="00F77FEF" w:rsidRDefault="001E18A6" w:rsidP="008410D6">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8"/>
                <w:szCs w:val="18"/>
              </w:rPr>
              <w:t xml:space="preserve">PCR assay; B-globin controls, </w:t>
            </w:r>
            <w:r w:rsidRPr="00F77FEF">
              <w:rPr>
                <w:rFonts w:asciiTheme="minorHAnsi" w:hAnsiTheme="minorHAnsi" w:cstheme="minorHAnsi"/>
                <w:sz w:val="18"/>
                <w:szCs w:val="18"/>
              </w:rPr>
              <w:t>oligonucleotide dot blot hybridization</w:t>
            </w:r>
          </w:p>
          <w:p w:rsidR="001E18A6" w:rsidRPr="00010F3C" w:rsidRDefault="001E18A6" w:rsidP="008410D6">
            <w:pPr>
              <w:autoSpaceDE w:val="0"/>
              <w:autoSpaceDN w:val="0"/>
              <w:adjustRightInd w:val="0"/>
              <w:rPr>
                <w:rFonts w:asciiTheme="minorHAnsi" w:hAnsiTheme="minorHAnsi" w:cstheme="minorHAnsi"/>
                <w:sz w:val="18"/>
                <w:szCs w:val="18"/>
              </w:rPr>
            </w:pPr>
            <w:r w:rsidRPr="00F77FEF">
              <w:rPr>
                <w:rFonts w:asciiTheme="minorHAnsi" w:eastAsiaTheme="minorHAnsi" w:hAnsiTheme="minorHAnsi" w:cstheme="minorHAnsi"/>
                <w:sz w:val="18"/>
                <w:szCs w:val="18"/>
              </w:rPr>
              <w:t xml:space="preserve"> </w:t>
            </w:r>
          </w:p>
        </w:tc>
        <w:tc>
          <w:tcPr>
            <w:tcW w:w="1850" w:type="dxa"/>
          </w:tcPr>
          <w:p w:rsidR="001E18A6" w:rsidRPr="00010F3C" w:rsidRDefault="001E18A6" w:rsidP="008410D6">
            <w:pPr>
              <w:rPr>
                <w:rFonts w:asciiTheme="minorHAnsi" w:hAnsiTheme="minorHAnsi" w:cstheme="minorHAnsi"/>
                <w:color w:val="000000"/>
                <w:sz w:val="18"/>
                <w:szCs w:val="18"/>
              </w:rPr>
            </w:pPr>
            <w:r w:rsidRPr="00010F3C">
              <w:rPr>
                <w:rFonts w:asciiTheme="minorHAnsi" w:hAnsiTheme="minorHAnsi" w:cstheme="minorHAnsi"/>
                <w:color w:val="000000"/>
                <w:sz w:val="18"/>
                <w:szCs w:val="18"/>
              </w:rPr>
              <w:t>Age, HIV status and CD4 category, smoking in P6M, injection drug use P6M, marijuana use P6M, any STD P6M, # male sex partners P6M, # male sex partners P10Y, # live lifetime births</w:t>
            </w:r>
          </w:p>
          <w:p w:rsidR="001E18A6" w:rsidRPr="00010F3C" w:rsidRDefault="001E18A6" w:rsidP="008410D6">
            <w:pPr>
              <w:rPr>
                <w:rFonts w:asciiTheme="minorHAnsi" w:hAnsiTheme="minorHAnsi" w:cstheme="minorHAnsi"/>
                <w:color w:val="000000"/>
                <w:sz w:val="18"/>
                <w:szCs w:val="18"/>
              </w:rPr>
            </w:pPr>
          </w:p>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color w:val="000000"/>
                <w:sz w:val="18"/>
                <w:szCs w:val="18"/>
              </w:rPr>
              <w:t xml:space="preserve">Final model (empirical and theoretical approach): age, HIV </w:t>
            </w:r>
            <w:r w:rsidRPr="00010F3C">
              <w:rPr>
                <w:rFonts w:asciiTheme="minorHAnsi" w:hAnsiTheme="minorHAnsi" w:cstheme="minorHAnsi"/>
                <w:color w:val="000000"/>
                <w:sz w:val="18"/>
                <w:szCs w:val="18"/>
              </w:rPr>
              <w:lastRenderedPageBreak/>
              <w:t>status and CD4 level, crack use in P6M, # of male sex partners in P10Y</w:t>
            </w:r>
          </w:p>
        </w:tc>
        <w:tc>
          <w:tcPr>
            <w:tcW w:w="1243"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lastRenderedPageBreak/>
              <w:t>N</w:t>
            </w:r>
            <w:r w:rsidRPr="00010F3C">
              <w:rPr>
                <w:rFonts w:asciiTheme="minorHAnsi" w:hAnsiTheme="minorHAnsi" w:cstheme="minorHAnsi"/>
                <w:sz w:val="18"/>
                <w:szCs w:val="18"/>
              </w:rPr>
              <w:t>ever user of OC (lifetime)</w:t>
            </w:r>
          </w:p>
        </w:tc>
        <w:tc>
          <w:tcPr>
            <w:tcW w:w="148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OC</w:t>
            </w:r>
            <w:r>
              <w:rPr>
                <w:rFonts w:asciiTheme="minorHAnsi" w:hAnsiTheme="minorHAnsi" w:cstheme="minorHAnsi"/>
                <w:sz w:val="18"/>
                <w:szCs w:val="18"/>
              </w:rPr>
              <w:t>P (ever)</w:t>
            </w:r>
            <w:r w:rsidRPr="00010F3C">
              <w:rPr>
                <w:rFonts w:asciiTheme="minorHAnsi" w:hAnsiTheme="minorHAnsi" w:cstheme="minorHAnsi"/>
                <w:sz w:val="18"/>
                <w:szCs w:val="18"/>
              </w:rPr>
              <w:t>: Not significant at univariate level (among HIV+ or HIV- women) so multivariate not reported</w:t>
            </w:r>
          </w:p>
        </w:tc>
        <w:tc>
          <w:tcPr>
            <w:tcW w:w="113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c>
          <w:tcPr>
            <w:tcW w:w="1321"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proofErr w:type="spellStart"/>
            <w:r>
              <w:rPr>
                <w:rFonts w:asciiTheme="minorHAnsi" w:hAnsiTheme="minorHAnsi" w:cstheme="minorHAnsi"/>
                <w:sz w:val="18"/>
                <w:szCs w:val="18"/>
              </w:rPr>
              <w:t>Sellors</w:t>
            </w:r>
            <w:proofErr w:type="spellEnd"/>
            <w:r>
              <w:rPr>
                <w:rFonts w:asciiTheme="minorHAnsi" w:hAnsiTheme="minorHAnsi" w:cstheme="minorHAnsi"/>
                <w:sz w:val="18"/>
                <w:szCs w:val="18"/>
              </w:rPr>
              <w:t xml:space="preserve">, 2003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{"citationItems":[{"id":"ITEM-1","itemData":{"ISSN":"0820-3946","PMID":"12591782","abstract":"BACKGROUND Persistent infection with carcinogenic human papillomavirus (HPV) is linked to high-grade lesions and cervical cancer. To better understand the natural history of HPV, we sought to determine the rates of incident and cleared carcinogenic HPV infection, by age, among women aged 15-49 years and to explore risk factors for incident infection. METHODS Women enrolled in an earlier HPV prevalence survey (500 of 800 who were HPV-negative and all 121 who were HPV-positive) were invited to participate in follow-up HPV testing at their periodic health examination one year later. A cervical soft-brush specimen for HPV testing and a smear for cytologic examination were obtained, and participants completed a questionnaire on their demographic characteristics and sexual history. RESULTS Two hundred and fifty-three (50.6%) previously HPV-negative women and 54 (44.6%) previously HPV-positive women were retested. The mean interval between visits was 14.0 (standard deviation 2.0, median 13.5, range 9.0-21.3) months. Incident HPV infection occurred in 11.1% (28/253) of the women overall, with the highest rate, 25.0% (6/24), in the 15-19-year age group. In the univariate analyses, risk factors for incident HPV were the median number of sexual partners in the past year (&lt; or = 1 v. &gt; or = 2: odds ratio [OR] 8.2, 95% confidence interval [CI] 3.0-22.2; p &lt; 0.001) and the median number of sexual partners over a lifetime (&gt; 3 v. &lt; or = 3: OR 3.0, 95% CI 1.2-7.2; p = 0.014). In multivariate logistic regression modelling adjusted for age, median number of sexual partners in the past year, median number of sexual partners over a lifetime, marital status, current smoking and current use of oral contraceptives, only the median number of sexual partners in the past year remained significantly associated with incidence (OR 6.2, 95% CI 1.6-24.5; p = 0.009). Of the previously HPV-positive women, 51.9% (28/54) had cleared the infection. INTERPRETATION Incident infection with carcinogenic HPV was highest in women aged 15-19 years, and risk factors were consistent with a sexually transmitted infection. A large proportion of the women who were HPV-positive appeared to have cleared the infection after one year.","author":[{"dropping-particle":"","family":"Sellors","given":"John W","non-dropping-particle":"","parse-names":false,"suffix":""},{"dropping-particle":"","family":"Karwalajtys","given":"Tina L","non-dropping-particle":"","parse-names":false,"suffix":""},{"dropping-particle":"","family":"Kaczorowski","given":"Janusz","non-dropping-particle":"","parse-names":false,"suffix":""},{"dropping-particle":"","family":"Mahony","given":"James B","non-dropping-particle":"","parse-names":false,"suffix":""},{"dropping-particle":"","family":"Lytwyn","given":"Alice","non-dropping-particle":"","parse-names":false,"suffix":""},{"dropping-particle":"","family":"Chong","given":"Sylvia","non-dropping-particle":"","parse-names":false,"suffix":""},{"dropping-particle":"","family":"Sparrow","given":"Joanna","non-dropping-particle":"","parse-names":false,"suffix":""},{"dropping-particle":"","family":"Lorincz","given":"Attila","non-dropping-particle":"","parse-names":false,"suffix":""},{"dropping-particle":"","family":"Survey of HPV in Ontario Women Group","given":"","non-dropping-particle":"","parse-names":false,"suffix":""}],"container-title":"CMAJ : Canadian Medical Association journal = journal de l'Association medicale canadienne","id":"ITEM-1","issue":"4","issued":{"date-parts":[["2003","2","18"]]},"page":"421-5","title":"Incidence, clearance and predictors of human papillomavirus infection in women.","type":"article-journal","volume":"168"},"uris":["http://www.mendeley.com/documents/?uuid=203af2f0-f7fe-30fd-8ef9-d2b2c2d04dce"]}],"mendeley":{"formattedCitation":"[28]","plainTextFormattedCitation":"[28]","previouslyFormattedCitation":"[28]"},"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[28]</w:t>
            </w:r>
            <w:r>
              <w:rPr>
                <w:rFonts w:asciiTheme="minorHAnsi" w:hAnsiTheme="minorHAnsi" w:cstheme="minorHAnsi"/>
                <w:sz w:val="18"/>
                <w:szCs w:val="18"/>
              </w:rPr>
              <w:fldChar w:fldCharType="end"/>
            </w:r>
          </w:p>
        </w:tc>
        <w:tc>
          <w:tcPr>
            <w:tcW w:w="2028" w:type="dxa"/>
          </w:tcPr>
          <w:p w:rsidR="001E18A6" w:rsidRPr="00F77DB6" w:rsidRDefault="001E18A6" w:rsidP="008410D6">
            <w:pPr>
              <w:autoSpaceDE w:val="0"/>
              <w:autoSpaceDN w:val="0"/>
              <w:adjustRightInd w:val="0"/>
              <w:rPr>
                <w:rFonts w:asciiTheme="minorHAnsi" w:eastAsiaTheme="minorHAnsi" w:hAnsiTheme="minorHAnsi" w:cstheme="minorHAnsi"/>
                <w:sz w:val="18"/>
                <w:szCs w:val="18"/>
              </w:rPr>
            </w:pPr>
            <w:r w:rsidRPr="00F77DB6">
              <w:rPr>
                <w:rFonts w:asciiTheme="minorHAnsi" w:eastAsiaTheme="minorHAnsi" w:hAnsiTheme="minorHAnsi" w:cstheme="minorHAnsi"/>
                <w:sz w:val="18"/>
                <w:szCs w:val="18"/>
              </w:rPr>
              <w:t xml:space="preserve">253, Canadian </w:t>
            </w:r>
            <w:r>
              <w:rPr>
                <w:rFonts w:asciiTheme="minorHAnsi" w:eastAsiaTheme="minorHAnsi" w:hAnsiTheme="minorHAnsi" w:cstheme="minorHAnsi"/>
                <w:sz w:val="18"/>
                <w:szCs w:val="18"/>
              </w:rPr>
              <w:t>women ages 15 to 49</w:t>
            </w:r>
          </w:p>
          <w:p w:rsidR="001E18A6" w:rsidRPr="00F77DB6" w:rsidRDefault="001E18A6" w:rsidP="008410D6">
            <w:pPr>
              <w:autoSpaceDE w:val="0"/>
              <w:autoSpaceDN w:val="0"/>
              <w:adjustRightInd w:val="0"/>
              <w:rPr>
                <w:rFonts w:asciiTheme="minorHAnsi" w:eastAsiaTheme="minorHAnsi" w:hAnsiTheme="minorHAnsi" w:cstheme="minorHAnsi"/>
                <w:sz w:val="18"/>
                <w:szCs w:val="18"/>
              </w:rPr>
            </w:pPr>
            <w:r w:rsidRPr="00F77DB6">
              <w:rPr>
                <w:rFonts w:asciiTheme="minorHAnsi" w:eastAsiaTheme="minorHAnsi" w:hAnsiTheme="minorHAnsi" w:cstheme="minorHAnsi"/>
                <w:sz w:val="18"/>
                <w:szCs w:val="18"/>
              </w:rPr>
              <w:t>in selected physician</w:t>
            </w:r>
          </w:p>
          <w:p w:rsidR="001E18A6" w:rsidRPr="00E81A2E" w:rsidRDefault="001E18A6" w:rsidP="008410D6">
            <w:pPr>
              <w:rPr>
                <w:rFonts w:asciiTheme="minorHAnsi" w:hAnsiTheme="minorHAnsi" w:cstheme="minorHAnsi"/>
                <w:sz w:val="18"/>
                <w:szCs w:val="18"/>
              </w:rPr>
            </w:pPr>
            <w:r w:rsidRPr="00F77DB6">
              <w:rPr>
                <w:rFonts w:asciiTheme="minorHAnsi" w:eastAsiaTheme="minorHAnsi" w:hAnsiTheme="minorHAnsi" w:cstheme="minorHAnsi"/>
                <w:sz w:val="18"/>
                <w:szCs w:val="18"/>
              </w:rPr>
              <w:t>practices</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i/>
                <w:sz w:val="18"/>
                <w:szCs w:val="18"/>
              </w:rPr>
              <w:t>28 incident HPV cases</w:t>
            </w:r>
            <w:r>
              <w:rPr>
                <w:rFonts w:asciiTheme="minorHAnsi" w:eastAsiaTheme="minorHAnsi" w:hAnsiTheme="minorHAnsi" w:cstheme="minorHAnsi"/>
                <w:i/>
                <w:sz w:val="18"/>
                <w:szCs w:val="18"/>
              </w:rPr>
              <w:t xml:space="preserve"> (11.1%)</w:t>
            </w:r>
          </w:p>
        </w:tc>
        <w:tc>
          <w:tcPr>
            <w:tcW w:w="1669" w:type="dxa"/>
          </w:tcPr>
          <w:p w:rsidR="001E18A6" w:rsidRPr="0023539F" w:rsidRDefault="001E18A6" w:rsidP="008410D6">
            <w:pPr>
              <w:rPr>
                <w:rFonts w:asciiTheme="minorHAnsi" w:hAnsiTheme="minorHAnsi" w:cstheme="minorHAnsi"/>
                <w:sz w:val="18"/>
                <w:szCs w:val="18"/>
              </w:rPr>
            </w:pPr>
            <w:r>
              <w:rPr>
                <w:rFonts w:asciiTheme="minorHAnsi" w:hAnsiTheme="minorHAnsi" w:cstheme="minorHAnsi"/>
                <w:sz w:val="18"/>
                <w:szCs w:val="18"/>
              </w:rPr>
              <w:t>1Y; 0M and 12M</w:t>
            </w:r>
          </w:p>
        </w:tc>
        <w:tc>
          <w:tcPr>
            <w:tcW w:w="2431" w:type="dxa"/>
          </w:tcPr>
          <w:p w:rsidR="001E18A6" w:rsidRPr="00967FF8" w:rsidRDefault="001E18A6" w:rsidP="008410D6">
            <w:pPr>
              <w:autoSpaceDE w:val="0"/>
              <w:autoSpaceDN w:val="0"/>
              <w:adjustRightInd w:val="0"/>
              <w:rPr>
                <w:rFonts w:asciiTheme="minorHAnsi" w:hAnsiTheme="minorHAnsi" w:cstheme="minorHAnsi"/>
                <w:sz w:val="18"/>
                <w:szCs w:val="18"/>
              </w:rPr>
            </w:pPr>
            <w:r w:rsidRPr="000916BF">
              <w:rPr>
                <w:rFonts w:asciiTheme="minorHAnsi" w:hAnsiTheme="minorHAnsi" w:cstheme="minorHAnsi"/>
                <w:sz w:val="18"/>
                <w:szCs w:val="18"/>
              </w:rPr>
              <w:t>PCR assay</w:t>
            </w:r>
            <w:r w:rsidRPr="00EA6949">
              <w:rPr>
                <w:rFonts w:asciiTheme="minorHAnsi" w:hAnsiTheme="minorHAnsi" w:cstheme="minorHAnsi"/>
                <w:sz w:val="18"/>
                <w:szCs w:val="18"/>
              </w:rPr>
              <w:t xml:space="preserve"> with HPV-</w:t>
            </w:r>
            <w:r w:rsidRPr="000C2E4D">
              <w:rPr>
                <w:rFonts w:asciiTheme="minorHAnsi" w:hAnsiTheme="minorHAnsi" w:cstheme="minorHAnsi"/>
                <w:sz w:val="18"/>
                <w:szCs w:val="18"/>
              </w:rPr>
              <w:t xml:space="preserve">genotyping; </w:t>
            </w:r>
            <w:r w:rsidRPr="00F77DB6">
              <w:rPr>
                <w:rFonts w:asciiTheme="minorHAnsi" w:eastAsiaTheme="minorHAnsi" w:hAnsiTheme="minorHAnsi" w:cstheme="minorHAnsi"/>
                <w:sz w:val="18"/>
                <w:szCs w:val="18"/>
              </w:rPr>
              <w:t>HCII assay for HR-HPV detection</w:t>
            </w:r>
          </w:p>
        </w:tc>
        <w:tc>
          <w:tcPr>
            <w:tcW w:w="1850" w:type="dxa"/>
          </w:tcPr>
          <w:p w:rsidR="001E18A6" w:rsidRPr="00F77DB6" w:rsidRDefault="001E18A6" w:rsidP="008410D6">
            <w:pPr>
              <w:autoSpaceDE w:val="0"/>
              <w:autoSpaceDN w:val="0"/>
              <w:adjustRightInd w:val="0"/>
              <w:rPr>
                <w:rFonts w:asciiTheme="minorHAnsi" w:eastAsiaTheme="minorHAnsi" w:hAnsiTheme="minorHAnsi" w:cstheme="minorHAnsi"/>
                <w:sz w:val="18"/>
                <w:szCs w:val="18"/>
              </w:rPr>
            </w:pPr>
            <w:r w:rsidRPr="00F77DB6">
              <w:rPr>
                <w:rFonts w:asciiTheme="minorHAnsi" w:eastAsiaTheme="minorHAnsi" w:hAnsiTheme="minorHAnsi" w:cstheme="minorHAnsi"/>
                <w:sz w:val="18"/>
                <w:szCs w:val="18"/>
              </w:rPr>
              <w:t>Age, median number of</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sex partners in the last</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year, median number of</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lifetime sex partners,</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marital status, smoking</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status</w:t>
            </w:r>
          </w:p>
        </w:tc>
        <w:tc>
          <w:tcPr>
            <w:tcW w:w="1243" w:type="dxa"/>
          </w:tcPr>
          <w:p w:rsidR="001E18A6" w:rsidRDefault="001E18A6" w:rsidP="008410D6">
            <w:pPr>
              <w:rPr>
                <w:rFonts w:asciiTheme="minorHAnsi" w:hAnsiTheme="minorHAnsi" w:cstheme="minorHAnsi"/>
                <w:sz w:val="18"/>
                <w:szCs w:val="18"/>
              </w:rPr>
            </w:pPr>
            <w:r>
              <w:rPr>
                <w:rFonts w:asciiTheme="minorHAnsi" w:hAnsiTheme="minorHAnsi" w:cstheme="minorHAnsi"/>
                <w:sz w:val="18"/>
                <w:szCs w:val="18"/>
              </w:rPr>
              <w:t>Non-OCP user</w:t>
            </w:r>
          </w:p>
        </w:tc>
        <w:tc>
          <w:tcPr>
            <w:tcW w:w="1488"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 xml:space="preserve">OCP on HR-HPV </w:t>
            </w:r>
            <w:proofErr w:type="spellStart"/>
            <w:r>
              <w:rPr>
                <w:rFonts w:asciiTheme="minorHAnsi" w:hAnsiTheme="minorHAnsi" w:cstheme="minorHAnsi"/>
                <w:sz w:val="18"/>
                <w:szCs w:val="18"/>
              </w:rPr>
              <w:t>aOR</w:t>
            </w:r>
            <w:proofErr w:type="spellEnd"/>
            <w:r>
              <w:rPr>
                <w:rFonts w:asciiTheme="minorHAnsi" w:hAnsiTheme="minorHAnsi" w:cstheme="minorHAnsi"/>
                <w:sz w:val="18"/>
                <w:szCs w:val="18"/>
              </w:rPr>
              <w:t>: 0.70 (0.20, 2.0)</w:t>
            </w:r>
          </w:p>
        </w:tc>
        <w:tc>
          <w:tcPr>
            <w:tcW w:w="1130"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NA</w:t>
            </w:r>
          </w:p>
        </w:tc>
        <w:tc>
          <w:tcPr>
            <w:tcW w:w="1321"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Shew, 2015</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{"citationItems":[{"id":"ITEM-1","itemData":{"DOI":"10.1002/jmv.24284","ISSN":"1096-9071","PMID":"26112742","abstract":"Redetection of a type-specific human papillomavirus (HPV) infection may represent reinfection. However, a growing body of literature suggests that reactivation of HPV is common and that episodic detection of a HPV infection may represent reactivation of a persistent virus. A cohort of prospectively followed adolescent women (N = 150), ages 14-17, was observed on average 6.4 years. The authors describe the redetection of 37 HPV types and associated factors of redetection of high-risk (HR) and low-risk (LR) types using Cox proportional hazard models. Of 1,248 HPV type-specific infections, 286 (22.9%) were associated with redetection after apparent clearance. Chlamydia infections (HR = 1.99 [95%CI, 1.15-3.49]) and non-condom use (HR = 1.1 [95%CI, 1.04-1.99]) were associated with increased redetection of HR-HPV infections. Oral contraceptive pills (HR = 2.73 [95%CI, 1.52-4.90]) and number of sexual partners (HR = 1.44 [95%CI, 1.04-1.99]) were associated with increased redetection of LR-HPV infections. Episodic detection of HPV is common for HR- and LR-HPV types. This finding and identified factors or redetection have clinical implications and enhances the understanding of HPV natural history.","author":[{"dropping-particle":"","family":"Shew","given":"Marcia L","non-dropping-particle":"","parse-names":false,"suffix":""},{"dropping-particle":"","family":"Ermel","given":"Aaron C","non-dropping-particle":"","parse-names":false,"suffix":""},{"dropping-particle":"","family":"Tong","given":"Yan","non-dropping-particle":"","parse-names":false,"suffix":""},{"dropping-particle":"","family":"Tu","given":"Wanzhu","non-dropping-particle":"","parse-names":false,"suffix":""},{"dropping-particle":"","family":"Qadadri","given":"Brahim","non-dropping-particle":"","parse-names":false,"suffix":""},{"dropping-particle":"","family":"Brown","given":"Darron R","non-dropping-particle":"","parse-names":false,"suffix":""}],"container-title":"Journal of Medical Virology","id":"ITEM-1","issue":"12","issued":{"date-parts":[["2015","12"]]},"page":"2122-9","title":"Episodic detection of human papillomavirus within a longitudinal cohort of young women","type":"article-journal","volume":"87"},"uris":["http://www.mendeley.com/documents/?uuid=7973532b-a063-380b-b212-863940c94014"]}],"mendeley":{"formattedCitation":"[44]","plainTextFormattedCitation":"[44]","previouslyFormattedCitation":"[44]"},"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[44]</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150, adolescents ages 14-17 in Indianapolis, U.S. visiting one of 3 primary care clinics</w:t>
            </w:r>
          </w:p>
        </w:tc>
        <w:tc>
          <w:tcPr>
            <w:tcW w:w="1669"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Mean follow-up: 5.8Y (3.9-9.2); Every 3M</w:t>
            </w:r>
          </w:p>
        </w:tc>
        <w:tc>
          <w:tcPr>
            <w:tcW w:w="2431" w:type="dxa"/>
          </w:tcPr>
          <w:p w:rsidR="001E18A6" w:rsidRPr="00010F3C" w:rsidRDefault="001E18A6" w:rsidP="008410D6">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9"/>
                <w:szCs w:val="19"/>
              </w:rPr>
              <w:t>Linear</w:t>
            </w:r>
            <w:r>
              <w:rPr>
                <w:rFonts w:asciiTheme="minorHAnsi" w:hAnsiTheme="minorHAnsi" w:cstheme="minorHAnsi"/>
                <w:sz w:val="19"/>
                <w:szCs w:val="19"/>
              </w:rPr>
              <w:t xml:space="preserve"> </w:t>
            </w:r>
            <w:r w:rsidRPr="00010F3C">
              <w:rPr>
                <w:rFonts w:asciiTheme="minorHAnsi" w:hAnsiTheme="minorHAnsi" w:cstheme="minorHAnsi"/>
                <w:sz w:val="19"/>
                <w:szCs w:val="19"/>
              </w:rPr>
              <w:t>array HPV genotyping test (Roche Diagnostics)</w:t>
            </w:r>
            <w:r>
              <w:rPr>
                <w:rFonts w:asciiTheme="minorHAnsi" w:hAnsiTheme="minorHAnsi" w:cstheme="minorHAnsi"/>
                <w:sz w:val="19"/>
                <w:szCs w:val="19"/>
              </w:rPr>
              <w:t xml:space="preserve"> and PCR assay with B-globin control</w:t>
            </w:r>
          </w:p>
          <w:p w:rsidR="001E18A6" w:rsidRPr="00010F3C" w:rsidRDefault="001E18A6" w:rsidP="008410D6">
            <w:pPr>
              <w:autoSpaceDE w:val="0"/>
              <w:autoSpaceDN w:val="0"/>
              <w:adjustRightInd w:val="0"/>
              <w:rPr>
                <w:rFonts w:asciiTheme="minorHAnsi" w:hAnsiTheme="minorHAnsi" w:cstheme="minorHAnsi"/>
                <w:sz w:val="18"/>
                <w:szCs w:val="18"/>
              </w:rPr>
            </w:pPr>
          </w:p>
        </w:tc>
        <w:tc>
          <w:tcPr>
            <w:tcW w:w="1850" w:type="dxa"/>
          </w:tcPr>
          <w:p w:rsidR="001E18A6" w:rsidRPr="00010F3C" w:rsidRDefault="001E18A6" w:rsidP="008410D6">
            <w:pPr>
              <w:rPr>
                <w:rFonts w:asciiTheme="minorHAnsi" w:hAnsiTheme="minorHAnsi" w:cstheme="minorHAnsi"/>
                <w:color w:val="000000"/>
                <w:sz w:val="19"/>
                <w:szCs w:val="19"/>
              </w:rPr>
            </w:pPr>
            <w:r w:rsidRPr="00010F3C">
              <w:rPr>
                <w:rFonts w:asciiTheme="minorHAnsi" w:hAnsiTheme="minorHAnsi" w:cstheme="minorHAnsi"/>
                <w:color w:val="000000"/>
                <w:sz w:val="19"/>
                <w:szCs w:val="19"/>
              </w:rPr>
              <w:t>STIs (clinic test): CT, NG and TV; contraceptive use, condom use, coital frequency, number of partners</w:t>
            </w:r>
          </w:p>
        </w:tc>
        <w:tc>
          <w:tcPr>
            <w:tcW w:w="1243" w:type="dxa"/>
          </w:tcPr>
          <w:p w:rsidR="001E18A6" w:rsidRPr="00010F3C" w:rsidRDefault="001E18A6" w:rsidP="008410D6">
            <w:pPr>
              <w:rPr>
                <w:rFonts w:asciiTheme="minorHAnsi" w:hAnsiTheme="minorHAnsi" w:cstheme="minorHAnsi"/>
                <w:sz w:val="19"/>
                <w:szCs w:val="19"/>
              </w:rPr>
            </w:pPr>
            <w:r w:rsidRPr="00010F3C">
              <w:rPr>
                <w:rFonts w:asciiTheme="minorHAnsi" w:hAnsiTheme="minorHAnsi" w:cstheme="minorHAnsi"/>
                <w:sz w:val="19"/>
                <w:szCs w:val="19"/>
              </w:rPr>
              <w:t>Non-user of OCP in last 3M, Non-user of DMPA in last 3M, respectively</w:t>
            </w:r>
          </w:p>
        </w:tc>
        <w:tc>
          <w:tcPr>
            <w:tcW w:w="1488" w:type="dxa"/>
          </w:tcPr>
          <w:p w:rsidR="001E18A6" w:rsidRPr="00010F3C" w:rsidRDefault="001E18A6" w:rsidP="008410D6">
            <w:pPr>
              <w:rPr>
                <w:rFonts w:asciiTheme="minorHAnsi" w:hAnsiTheme="minorHAnsi" w:cstheme="minorHAnsi"/>
                <w:color w:val="000000"/>
                <w:sz w:val="19"/>
                <w:szCs w:val="19"/>
              </w:rPr>
            </w:pPr>
            <w:r w:rsidRPr="00010F3C">
              <w:rPr>
                <w:rFonts w:asciiTheme="minorHAnsi" w:hAnsiTheme="minorHAnsi" w:cstheme="minorHAnsi"/>
                <w:color w:val="000000"/>
                <w:sz w:val="19"/>
                <w:szCs w:val="19"/>
                <w:u w:val="single"/>
              </w:rPr>
              <w:t>OC</w:t>
            </w:r>
            <w:r>
              <w:rPr>
                <w:rFonts w:asciiTheme="minorHAnsi" w:hAnsiTheme="minorHAnsi" w:cstheme="minorHAnsi"/>
                <w:color w:val="000000"/>
                <w:sz w:val="19"/>
                <w:szCs w:val="19"/>
                <w:u w:val="single"/>
              </w:rPr>
              <w:t>P</w:t>
            </w:r>
            <w:r w:rsidRPr="00010F3C">
              <w:rPr>
                <w:rFonts w:asciiTheme="minorHAnsi" w:hAnsiTheme="minorHAnsi" w:cstheme="minorHAnsi"/>
                <w:color w:val="000000"/>
                <w:sz w:val="19"/>
                <w:szCs w:val="19"/>
                <w:u w:val="single"/>
              </w:rPr>
              <w:t xml:space="preserve"> on HPV (all types)</w:t>
            </w:r>
            <w:r w:rsidRPr="00010F3C">
              <w:rPr>
                <w:rFonts w:asciiTheme="minorHAnsi" w:hAnsiTheme="minorHAnsi" w:cstheme="minorHAnsi"/>
                <w:color w:val="000000"/>
                <w:sz w:val="19"/>
                <w:szCs w:val="19"/>
              </w:rPr>
              <w:t xml:space="preserve"> </w:t>
            </w:r>
            <w:proofErr w:type="spellStart"/>
            <w:r w:rsidRPr="00010F3C">
              <w:rPr>
                <w:rFonts w:asciiTheme="minorHAnsi" w:hAnsiTheme="minorHAnsi" w:cstheme="minorHAnsi"/>
                <w:color w:val="000000"/>
                <w:sz w:val="19"/>
                <w:szCs w:val="19"/>
              </w:rPr>
              <w:t>aHR</w:t>
            </w:r>
            <w:proofErr w:type="spellEnd"/>
            <w:r w:rsidRPr="00010F3C">
              <w:rPr>
                <w:rFonts w:asciiTheme="minorHAnsi" w:hAnsiTheme="minorHAnsi" w:cstheme="minorHAnsi"/>
                <w:color w:val="000000"/>
                <w:sz w:val="19"/>
                <w:szCs w:val="19"/>
              </w:rPr>
              <w:t xml:space="preserve">: 2.0 (1.28, </w:t>
            </w:r>
            <w:proofErr w:type="gramStart"/>
            <w:r w:rsidRPr="00010F3C">
              <w:rPr>
                <w:rFonts w:asciiTheme="minorHAnsi" w:hAnsiTheme="minorHAnsi" w:cstheme="minorHAnsi"/>
                <w:color w:val="000000"/>
                <w:sz w:val="19"/>
                <w:szCs w:val="19"/>
              </w:rPr>
              <w:t>3.15)</w:t>
            </w:r>
            <w:r>
              <w:rPr>
                <w:rFonts w:asciiTheme="minorHAnsi" w:hAnsiTheme="minorHAnsi" w:cstheme="minorHAnsi"/>
                <w:color w:val="000000"/>
                <w:sz w:val="19"/>
                <w:szCs w:val="19"/>
              </w:rPr>
              <w:t>*</w:t>
            </w:r>
            <w:proofErr w:type="gramEnd"/>
            <w:r w:rsidRPr="00010F3C">
              <w:rPr>
                <w:rFonts w:asciiTheme="minorHAnsi" w:hAnsiTheme="minorHAnsi" w:cstheme="minorHAnsi"/>
                <w:color w:val="000000"/>
                <w:sz w:val="19"/>
                <w:szCs w:val="19"/>
              </w:rPr>
              <w:t xml:space="preserve">; </w:t>
            </w:r>
            <w:r w:rsidRPr="00010F3C">
              <w:rPr>
                <w:rFonts w:asciiTheme="minorHAnsi" w:hAnsiTheme="minorHAnsi" w:cstheme="minorHAnsi"/>
                <w:color w:val="000000"/>
                <w:sz w:val="19"/>
                <w:szCs w:val="19"/>
                <w:u w:val="single"/>
              </w:rPr>
              <w:t>HR-HPV</w:t>
            </w:r>
            <w:r w:rsidRPr="00010F3C">
              <w:rPr>
                <w:rFonts w:asciiTheme="minorHAnsi" w:hAnsiTheme="minorHAnsi" w:cstheme="minorHAnsi"/>
                <w:color w:val="000000"/>
                <w:sz w:val="19"/>
                <w:szCs w:val="19"/>
              </w:rPr>
              <w:t xml:space="preserve"> </w:t>
            </w:r>
            <w:proofErr w:type="spellStart"/>
            <w:r w:rsidRPr="00010F3C">
              <w:rPr>
                <w:rFonts w:asciiTheme="minorHAnsi" w:hAnsiTheme="minorHAnsi" w:cstheme="minorHAnsi"/>
                <w:color w:val="000000"/>
                <w:sz w:val="19"/>
                <w:szCs w:val="19"/>
              </w:rPr>
              <w:t>aHR</w:t>
            </w:r>
            <w:proofErr w:type="spellEnd"/>
            <w:r w:rsidRPr="00010F3C">
              <w:rPr>
                <w:rFonts w:asciiTheme="minorHAnsi" w:hAnsiTheme="minorHAnsi" w:cstheme="minorHAnsi"/>
                <w:color w:val="000000"/>
                <w:sz w:val="19"/>
                <w:szCs w:val="19"/>
              </w:rPr>
              <w:t xml:space="preserve">: 1.31 (0.73, 2.35); </w:t>
            </w:r>
            <w:r w:rsidRPr="00010F3C">
              <w:rPr>
                <w:rFonts w:asciiTheme="minorHAnsi" w:hAnsiTheme="minorHAnsi" w:cstheme="minorHAnsi"/>
                <w:color w:val="000000"/>
                <w:sz w:val="19"/>
                <w:szCs w:val="19"/>
                <w:u w:val="single"/>
              </w:rPr>
              <w:t xml:space="preserve">LR-HPV </w:t>
            </w:r>
            <w:proofErr w:type="spellStart"/>
            <w:r w:rsidRPr="00010F3C">
              <w:rPr>
                <w:rFonts w:asciiTheme="minorHAnsi" w:hAnsiTheme="minorHAnsi" w:cstheme="minorHAnsi"/>
                <w:color w:val="000000"/>
                <w:sz w:val="19"/>
                <w:szCs w:val="19"/>
              </w:rPr>
              <w:t>aHR</w:t>
            </w:r>
            <w:proofErr w:type="spellEnd"/>
            <w:r w:rsidRPr="00010F3C">
              <w:rPr>
                <w:rFonts w:asciiTheme="minorHAnsi" w:hAnsiTheme="minorHAnsi" w:cstheme="minorHAnsi"/>
                <w:color w:val="000000"/>
                <w:sz w:val="19"/>
                <w:szCs w:val="19"/>
              </w:rPr>
              <w:t>: 2.73 (1.52, 4.90)</w:t>
            </w:r>
            <w:r>
              <w:rPr>
                <w:rFonts w:asciiTheme="minorHAnsi" w:hAnsiTheme="minorHAnsi" w:cstheme="minorHAnsi"/>
                <w:color w:val="000000"/>
                <w:sz w:val="19"/>
                <w:szCs w:val="19"/>
              </w:rPr>
              <w:t>*</w:t>
            </w:r>
          </w:p>
          <w:p w:rsidR="001E18A6" w:rsidRPr="00010F3C" w:rsidRDefault="001E18A6" w:rsidP="008410D6">
            <w:pPr>
              <w:rPr>
                <w:rFonts w:asciiTheme="minorHAnsi" w:hAnsiTheme="minorHAnsi" w:cstheme="minorHAnsi"/>
                <w:sz w:val="19"/>
                <w:szCs w:val="19"/>
              </w:rPr>
            </w:pPr>
          </w:p>
        </w:tc>
        <w:tc>
          <w:tcPr>
            <w:tcW w:w="1130" w:type="dxa"/>
          </w:tcPr>
          <w:p w:rsidR="001E18A6" w:rsidRPr="00010F3C" w:rsidRDefault="001E18A6" w:rsidP="008410D6">
            <w:pPr>
              <w:rPr>
                <w:rFonts w:asciiTheme="minorHAnsi" w:hAnsiTheme="minorHAnsi" w:cstheme="minorHAnsi"/>
                <w:sz w:val="19"/>
                <w:szCs w:val="19"/>
              </w:rPr>
            </w:pPr>
            <w:r>
              <w:rPr>
                <w:rFonts w:asciiTheme="minorHAnsi" w:hAnsiTheme="minorHAnsi" w:cstheme="minorHAnsi"/>
                <w:sz w:val="19"/>
                <w:szCs w:val="19"/>
                <w:u w:val="single"/>
              </w:rPr>
              <w:t xml:space="preserve">DMPA on </w:t>
            </w:r>
            <w:r w:rsidRPr="00010F3C">
              <w:rPr>
                <w:rFonts w:asciiTheme="minorHAnsi" w:hAnsiTheme="minorHAnsi" w:cstheme="minorHAnsi"/>
                <w:sz w:val="19"/>
                <w:szCs w:val="19"/>
                <w:u w:val="single"/>
              </w:rPr>
              <w:t>HPV (all types)</w:t>
            </w:r>
            <w:r w:rsidRPr="00010F3C">
              <w:rPr>
                <w:rFonts w:asciiTheme="minorHAnsi" w:hAnsiTheme="minorHAnsi" w:cstheme="minorHAnsi"/>
                <w:sz w:val="19"/>
                <w:szCs w:val="19"/>
              </w:rPr>
              <w:t xml:space="preserve"> </w:t>
            </w:r>
            <w:proofErr w:type="spellStart"/>
            <w:r w:rsidRPr="00010F3C">
              <w:rPr>
                <w:rFonts w:asciiTheme="minorHAnsi" w:hAnsiTheme="minorHAnsi" w:cstheme="minorHAnsi"/>
                <w:sz w:val="19"/>
                <w:szCs w:val="19"/>
              </w:rPr>
              <w:t>aHR</w:t>
            </w:r>
            <w:proofErr w:type="spellEnd"/>
            <w:r w:rsidRPr="00010F3C">
              <w:rPr>
                <w:rFonts w:asciiTheme="minorHAnsi" w:hAnsiTheme="minorHAnsi" w:cstheme="minorHAnsi"/>
                <w:sz w:val="19"/>
                <w:szCs w:val="19"/>
              </w:rPr>
              <w:t xml:space="preserve">: 0.96 (0.67, 1.38); </w:t>
            </w:r>
            <w:r w:rsidRPr="00010F3C">
              <w:rPr>
                <w:rFonts w:asciiTheme="minorHAnsi" w:hAnsiTheme="minorHAnsi" w:cstheme="minorHAnsi"/>
                <w:sz w:val="19"/>
                <w:szCs w:val="19"/>
                <w:u w:val="single"/>
              </w:rPr>
              <w:t>HR-HPV</w:t>
            </w:r>
            <w:r w:rsidRPr="00010F3C">
              <w:rPr>
                <w:rFonts w:asciiTheme="minorHAnsi" w:hAnsiTheme="minorHAnsi" w:cstheme="minorHAnsi"/>
                <w:sz w:val="19"/>
                <w:szCs w:val="19"/>
              </w:rPr>
              <w:t xml:space="preserve"> </w:t>
            </w:r>
            <w:proofErr w:type="spellStart"/>
            <w:r w:rsidRPr="00010F3C">
              <w:rPr>
                <w:rFonts w:asciiTheme="minorHAnsi" w:hAnsiTheme="minorHAnsi" w:cstheme="minorHAnsi"/>
                <w:sz w:val="19"/>
                <w:szCs w:val="19"/>
              </w:rPr>
              <w:t>aHR</w:t>
            </w:r>
            <w:proofErr w:type="spellEnd"/>
            <w:r w:rsidRPr="00010F3C">
              <w:rPr>
                <w:rFonts w:asciiTheme="minorHAnsi" w:hAnsiTheme="minorHAnsi" w:cstheme="minorHAnsi"/>
                <w:sz w:val="19"/>
                <w:szCs w:val="19"/>
              </w:rPr>
              <w:t xml:space="preserve">: 0.80 (0.54, 1.19); </w:t>
            </w:r>
            <w:r w:rsidRPr="00010F3C">
              <w:rPr>
                <w:rFonts w:asciiTheme="minorHAnsi" w:hAnsiTheme="minorHAnsi" w:cstheme="minorHAnsi"/>
                <w:sz w:val="19"/>
                <w:szCs w:val="19"/>
                <w:u w:val="single"/>
              </w:rPr>
              <w:t>LR- HPV</w:t>
            </w:r>
            <w:r w:rsidRPr="00010F3C">
              <w:rPr>
                <w:rFonts w:asciiTheme="minorHAnsi" w:hAnsiTheme="minorHAnsi" w:cstheme="minorHAnsi"/>
                <w:sz w:val="19"/>
                <w:szCs w:val="19"/>
              </w:rPr>
              <w:t xml:space="preserve"> </w:t>
            </w:r>
            <w:proofErr w:type="spellStart"/>
            <w:r w:rsidRPr="00010F3C">
              <w:rPr>
                <w:rFonts w:asciiTheme="minorHAnsi" w:hAnsiTheme="minorHAnsi" w:cstheme="minorHAnsi"/>
                <w:sz w:val="19"/>
                <w:szCs w:val="19"/>
              </w:rPr>
              <w:t>aHR</w:t>
            </w:r>
            <w:proofErr w:type="spellEnd"/>
            <w:r w:rsidRPr="00010F3C">
              <w:rPr>
                <w:rFonts w:asciiTheme="minorHAnsi" w:hAnsiTheme="minorHAnsi" w:cstheme="minorHAnsi"/>
                <w:sz w:val="19"/>
                <w:szCs w:val="19"/>
              </w:rPr>
              <w:t>: 1.57 (0.90, 2.75)</w:t>
            </w:r>
          </w:p>
        </w:tc>
        <w:tc>
          <w:tcPr>
            <w:tcW w:w="1321"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 xml:space="preserve">Winer, 2003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{"citationItems":[{"id":"ITEM-1","itemData":{"ISSN":"0002-9262","PMID":"12543621","abstract":"Incidence data on human papillomavirus (HPV) infection are limited, and risk factors for transmission are largely unknown. The authors followed 603 female university students in Washington State at 4-month intervals between 1990 and 2000. At each visit, a sexual and health questionnaire was completed and cervical and vulvovaginal samples were collected to detect HPV DNA. At 24 months, the cumulative incidence of first-time infection was 32.3% (95% confidence interval: 28.0, 37.1). Incidences calculated from time of new-partner acquisition were comparable for enrolled virgins and nonvirgins. Smoking, oral contraceptive use, and report of a new male sex partner--in particular, one known for less than 8 months before sex occurred or one reporting other partners--were predictive of incident infection. Always using male condoms with a new partner was not protective. Infection in virgins was rare, but any type of nonpenetrative sexual contact was associated with an increased risk. Detection of oral HPV was rare and was not associated with oral-penile contact. The data show that the incidence of HPV associated with acquisition of a new sex partner is high and that nonpenetrative sexual contact is a plausible route of transmission in virgins.","author":[{"dropping-particle":"","family":"Winer","given":"Rachel L","non-dropping-particle":"","parse-names":false,"suffix":""},{"dropping-particle":"","family":"Lee","given":"Shu-Kuang","non-dropping-particle":"","parse-names":false,"suffix":""},{"dropping-particle":"","family":"Hughes","given":"James P","non-dropping-particle":"","parse-names":false,"suffix":""},{"dropping-particle":"","family":"Adam","given":"Diane E","non-dropping-particle":"","parse-names":false,"suffix":""},{"dropping-particle":"","family":"Kiviat","given":"Nancy B","non-dropping-particle":"","parse-names":false,"suffix":""},{"dropping-particle":"","family":"Koutsky","given":"Laura A","non-dropping-particle":"","parse-names":false,"suffix":""}],"container-title":"American journal of epidemiology","id":"ITEM-1","issue":"3","issued":{"date-parts":[["2003","2","1"]]},"page":"218-26","title":"Genital human papillomavirus infection: incidence and risk factors in a cohort of female university students.","type":"article-journal","volume":"157"},"uris":["http://www.mendeley.com/documents/?uuid=ff6944a5-7812-354c-b145-604dfb3c4175"]}],"mendeley":{"formattedCitation":"[27]","plainTextFormattedCitation":"[27]","previouslyFormattedCitation":"[27]"},"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[27]</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 xml:space="preserve">553, university women in Seattle, USA ages 18-20; </w:t>
            </w:r>
            <w:r w:rsidRPr="00F77DB6">
              <w:rPr>
                <w:rFonts w:asciiTheme="minorHAnsi" w:hAnsiTheme="minorHAnsi" w:cstheme="minorHAnsi"/>
                <w:i/>
                <w:sz w:val="18"/>
                <w:szCs w:val="18"/>
              </w:rPr>
              <w:t>incident cases (a</w:t>
            </w:r>
            <w:r>
              <w:rPr>
                <w:rFonts w:asciiTheme="minorHAnsi" w:hAnsiTheme="minorHAnsi" w:cstheme="minorHAnsi"/>
                <w:i/>
                <w:sz w:val="18"/>
                <w:szCs w:val="18"/>
              </w:rPr>
              <w:t>ll</w:t>
            </w:r>
            <w:r w:rsidRPr="00F77DB6">
              <w:rPr>
                <w:rFonts w:asciiTheme="minorHAnsi" w:hAnsiTheme="minorHAnsi" w:cstheme="minorHAnsi"/>
                <w:i/>
                <w:sz w:val="18"/>
                <w:szCs w:val="18"/>
              </w:rPr>
              <w:t xml:space="preserve"> HPV type)</w:t>
            </w:r>
            <w:r>
              <w:rPr>
                <w:rFonts w:asciiTheme="minorHAnsi" w:hAnsiTheme="minorHAnsi" w:cstheme="minorHAnsi"/>
                <w:i/>
                <w:sz w:val="18"/>
                <w:szCs w:val="18"/>
              </w:rPr>
              <w:t xml:space="preserve"> among OCP users: 92 per 503 PY vs. 56/553 PY among non-OCP users</w:t>
            </w:r>
          </w:p>
        </w:tc>
        <w:tc>
          <w:tcPr>
            <w:tcW w:w="1669"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5Y; 4M intervals</w:t>
            </w:r>
          </w:p>
        </w:tc>
        <w:tc>
          <w:tcPr>
            <w:tcW w:w="2431" w:type="dxa"/>
          </w:tcPr>
          <w:p w:rsidR="001E18A6" w:rsidRPr="00F77DB6" w:rsidRDefault="001E18A6" w:rsidP="008410D6">
            <w:pPr>
              <w:autoSpaceDE w:val="0"/>
              <w:autoSpaceDN w:val="0"/>
              <w:adjustRightInd w:val="0"/>
              <w:rPr>
                <w:rFonts w:asciiTheme="minorHAnsi" w:hAnsiTheme="minorHAnsi" w:cstheme="minorHAnsi"/>
                <w:sz w:val="18"/>
                <w:szCs w:val="18"/>
              </w:rPr>
            </w:pPr>
            <w:r w:rsidRPr="00F77DB6">
              <w:rPr>
                <w:rFonts w:asciiTheme="minorHAnsi" w:hAnsiTheme="minorHAnsi" w:cstheme="minorHAnsi"/>
                <w:sz w:val="18"/>
                <w:szCs w:val="18"/>
              </w:rPr>
              <w:t>PCR assay and dot</w:t>
            </w:r>
            <w:r w:rsidRPr="00F77DB6">
              <w:rPr>
                <w:rFonts w:asciiTheme="minorHAnsi" w:eastAsiaTheme="minorHAnsi" w:hAnsiTheme="minorHAnsi" w:cstheme="minorHAnsi"/>
                <w:sz w:val="18"/>
                <w:szCs w:val="18"/>
              </w:rPr>
              <w:t>-blot hybridization</w:t>
            </w:r>
            <w:r>
              <w:rPr>
                <w:rFonts w:asciiTheme="minorHAnsi" w:eastAsiaTheme="minorHAnsi" w:hAnsiTheme="minorHAnsi" w:cstheme="minorHAnsi"/>
                <w:sz w:val="18"/>
                <w:szCs w:val="18"/>
              </w:rPr>
              <w:t xml:space="preserve"> </w:t>
            </w:r>
            <w:r>
              <w:rPr>
                <w:rFonts w:asciiTheme="minorHAnsi" w:hAnsiTheme="minorHAnsi" w:cstheme="minorHAnsi"/>
                <w:sz w:val="19"/>
                <w:szCs w:val="19"/>
              </w:rPr>
              <w:t>with B-globin control</w:t>
            </w:r>
          </w:p>
        </w:tc>
        <w:tc>
          <w:tcPr>
            <w:tcW w:w="1850" w:type="dxa"/>
          </w:tcPr>
          <w:p w:rsidR="001E18A6" w:rsidRPr="00F77DB6" w:rsidRDefault="001E18A6" w:rsidP="008410D6">
            <w:pPr>
              <w:autoSpaceDE w:val="0"/>
              <w:autoSpaceDN w:val="0"/>
              <w:adjustRightInd w:val="0"/>
              <w:rPr>
                <w:rFonts w:asciiTheme="minorHAnsi" w:eastAsiaTheme="minorHAnsi" w:hAnsiTheme="minorHAnsi" w:cstheme="minorHAnsi"/>
                <w:sz w:val="18"/>
                <w:szCs w:val="18"/>
              </w:rPr>
            </w:pPr>
            <w:r>
              <w:rPr>
                <w:rFonts w:asciiTheme="minorHAnsi" w:eastAsiaTheme="minorHAnsi" w:hAnsiTheme="minorHAnsi" w:cstheme="minorHAnsi"/>
                <w:sz w:val="18"/>
                <w:szCs w:val="18"/>
              </w:rPr>
              <w:t>T</w:t>
            </w:r>
            <w:r w:rsidRPr="00F77DB6">
              <w:rPr>
                <w:rFonts w:asciiTheme="minorHAnsi" w:eastAsiaTheme="minorHAnsi" w:hAnsiTheme="minorHAnsi" w:cstheme="minorHAnsi"/>
                <w:sz w:val="18"/>
                <w:szCs w:val="18"/>
              </w:rPr>
              <w:t xml:space="preserve">ime interval, </w:t>
            </w:r>
            <w:r>
              <w:rPr>
                <w:rFonts w:asciiTheme="minorHAnsi" w:eastAsiaTheme="minorHAnsi" w:hAnsiTheme="minorHAnsi" w:cstheme="minorHAnsi"/>
                <w:sz w:val="18"/>
                <w:szCs w:val="18"/>
              </w:rPr>
              <w:t xml:space="preserve">current </w:t>
            </w:r>
            <w:r w:rsidRPr="00F77DB6">
              <w:rPr>
                <w:rFonts w:asciiTheme="minorHAnsi" w:eastAsiaTheme="minorHAnsi" w:hAnsiTheme="minorHAnsi" w:cstheme="minorHAnsi"/>
                <w:sz w:val="18"/>
                <w:szCs w:val="18"/>
              </w:rPr>
              <w:t>smoking, history of non</w:t>
            </w:r>
            <w:r>
              <w:rPr>
                <w:rFonts w:asciiTheme="minorHAnsi" w:eastAsiaTheme="minorHAnsi" w:hAnsiTheme="minorHAnsi" w:cstheme="minorHAnsi"/>
                <w:sz w:val="18"/>
                <w:szCs w:val="18"/>
              </w:rPr>
              <w:t>-</w:t>
            </w:r>
            <w:r w:rsidRPr="00F77DB6">
              <w:rPr>
                <w:rFonts w:asciiTheme="minorHAnsi" w:eastAsiaTheme="minorHAnsi" w:hAnsiTheme="minorHAnsi" w:cstheme="minorHAnsi"/>
                <w:sz w:val="18"/>
                <w:szCs w:val="18"/>
              </w:rPr>
              <w:t>genital warts, history of tampon use, being delivered by</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cesarean section</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length of time having known a</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partner, partner’s ethnicity, partner’s age, partner’s educational level</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partner’s lifetime number of partners</w:t>
            </w:r>
            <w:r>
              <w:rPr>
                <w:rFonts w:asciiTheme="minorHAnsi" w:eastAsiaTheme="minorHAnsi" w:hAnsiTheme="minorHAnsi" w:cstheme="minorHAnsi"/>
                <w:sz w:val="18"/>
                <w:szCs w:val="18"/>
              </w:rPr>
              <w:t xml:space="preserve">, </w:t>
            </w:r>
            <w:r w:rsidRPr="00F77DB6">
              <w:rPr>
                <w:rFonts w:asciiTheme="minorHAnsi" w:eastAsiaTheme="minorHAnsi" w:hAnsiTheme="minorHAnsi" w:cstheme="minorHAnsi"/>
                <w:sz w:val="18"/>
                <w:szCs w:val="18"/>
              </w:rPr>
              <w:t>partner’s circumcision status</w:t>
            </w:r>
            <w:r>
              <w:rPr>
                <w:rFonts w:asciiTheme="minorHAnsi" w:eastAsiaTheme="minorHAnsi" w:hAnsiTheme="minorHAnsi" w:cstheme="minorHAnsi"/>
                <w:sz w:val="18"/>
                <w:szCs w:val="18"/>
              </w:rPr>
              <w:t>,</w:t>
            </w:r>
          </w:p>
          <w:p w:rsidR="001E18A6" w:rsidRPr="00F77DB6" w:rsidRDefault="001E18A6" w:rsidP="008410D6">
            <w:pPr>
              <w:autoSpaceDE w:val="0"/>
              <w:autoSpaceDN w:val="0"/>
              <w:adjustRightInd w:val="0"/>
              <w:rPr>
                <w:rFonts w:asciiTheme="minorHAnsi" w:eastAsiaTheme="minorHAnsi" w:hAnsiTheme="minorHAnsi" w:cstheme="minorHAnsi"/>
                <w:sz w:val="18"/>
                <w:szCs w:val="18"/>
              </w:rPr>
            </w:pPr>
            <w:r w:rsidRPr="00F77DB6">
              <w:rPr>
                <w:rFonts w:asciiTheme="minorHAnsi" w:eastAsiaTheme="minorHAnsi" w:hAnsiTheme="minorHAnsi" w:cstheme="minorHAnsi"/>
                <w:sz w:val="18"/>
                <w:szCs w:val="18"/>
              </w:rPr>
              <w:t xml:space="preserve">condom </w:t>
            </w:r>
            <w:proofErr w:type="gramStart"/>
            <w:r w:rsidRPr="00F77DB6">
              <w:rPr>
                <w:rFonts w:asciiTheme="minorHAnsi" w:eastAsiaTheme="minorHAnsi" w:hAnsiTheme="minorHAnsi" w:cstheme="minorHAnsi"/>
                <w:sz w:val="18"/>
                <w:szCs w:val="18"/>
              </w:rPr>
              <w:t>use</w:t>
            </w:r>
            <w:proofErr w:type="gramEnd"/>
            <w:r w:rsidRPr="00F77DB6">
              <w:rPr>
                <w:rFonts w:asciiTheme="minorHAnsi" w:eastAsiaTheme="minorHAnsi" w:hAnsiTheme="minorHAnsi" w:cstheme="minorHAnsi"/>
                <w:sz w:val="18"/>
                <w:szCs w:val="18"/>
              </w:rPr>
              <w:t xml:space="preserve"> with a new partner</w:t>
            </w:r>
            <w:r>
              <w:rPr>
                <w:rFonts w:asciiTheme="minorHAnsi" w:eastAsiaTheme="minorHAnsi" w:hAnsiTheme="minorHAnsi" w:cstheme="minorHAnsi"/>
                <w:sz w:val="18"/>
                <w:szCs w:val="18"/>
              </w:rPr>
              <w:t xml:space="preserve">. </w:t>
            </w:r>
          </w:p>
          <w:p w:rsidR="001E18A6" w:rsidRDefault="001E18A6" w:rsidP="008410D6">
            <w:pPr>
              <w:autoSpaceDE w:val="0"/>
              <w:autoSpaceDN w:val="0"/>
              <w:adjustRightInd w:val="0"/>
              <w:rPr>
                <w:rFonts w:asciiTheme="minorHAnsi" w:eastAsiaTheme="minorHAnsi" w:hAnsiTheme="minorHAnsi" w:cstheme="minorHAnsi"/>
                <w:sz w:val="18"/>
                <w:szCs w:val="18"/>
              </w:rPr>
            </w:pPr>
            <w:r w:rsidRPr="00992589">
              <w:rPr>
                <w:rFonts w:asciiTheme="minorHAnsi" w:eastAsiaTheme="minorHAnsi" w:hAnsiTheme="minorHAnsi" w:cstheme="minorHAnsi"/>
                <w:sz w:val="18"/>
                <w:szCs w:val="18"/>
              </w:rPr>
              <w:lastRenderedPageBreak/>
              <w:t>W</w:t>
            </w:r>
            <w:r w:rsidRPr="00F77DB6">
              <w:rPr>
                <w:rFonts w:asciiTheme="minorHAnsi" w:eastAsiaTheme="minorHAnsi" w:hAnsiTheme="minorHAnsi" w:cstheme="minorHAnsi"/>
                <w:sz w:val="18"/>
                <w:szCs w:val="18"/>
              </w:rPr>
              <w:t xml:space="preserve">hether partner had ever had a </w:t>
            </w:r>
            <w:r>
              <w:rPr>
                <w:rFonts w:asciiTheme="minorHAnsi" w:eastAsiaTheme="minorHAnsi" w:hAnsiTheme="minorHAnsi" w:cstheme="minorHAnsi"/>
                <w:sz w:val="18"/>
                <w:szCs w:val="18"/>
              </w:rPr>
              <w:t>STI,</w:t>
            </w:r>
            <w:r w:rsidRPr="00F77DB6">
              <w:rPr>
                <w:rFonts w:asciiTheme="minorHAnsi" w:eastAsiaTheme="minorHAnsi" w:hAnsiTheme="minorHAnsi" w:cstheme="minorHAnsi"/>
                <w:sz w:val="18"/>
                <w:szCs w:val="18"/>
              </w:rPr>
              <w:t xml:space="preserve"> subject/partner alcohol</w:t>
            </w:r>
            <w:r>
              <w:rPr>
                <w:rFonts w:asciiTheme="minorHAnsi" w:eastAsiaTheme="minorHAnsi" w:hAnsiTheme="minorHAnsi" w:cstheme="minorHAnsi"/>
                <w:sz w:val="18"/>
                <w:szCs w:val="18"/>
              </w:rPr>
              <w:t xml:space="preserve"> use</w:t>
            </w:r>
            <w:r w:rsidRPr="00F77DB6">
              <w:rPr>
                <w:rFonts w:asciiTheme="minorHAnsi" w:eastAsiaTheme="minorHAnsi" w:hAnsiTheme="minorHAnsi" w:cstheme="minorHAnsi"/>
                <w:sz w:val="18"/>
                <w:szCs w:val="18"/>
              </w:rPr>
              <w:t xml:space="preserve"> during sex</w:t>
            </w:r>
            <w:r>
              <w:rPr>
                <w:rFonts w:asciiTheme="minorHAnsi" w:eastAsiaTheme="minorHAnsi" w:hAnsiTheme="minorHAnsi" w:cstheme="minorHAnsi"/>
                <w:sz w:val="18"/>
                <w:szCs w:val="18"/>
              </w:rPr>
              <w:t>.</w:t>
            </w:r>
          </w:p>
          <w:p w:rsidR="001E18A6" w:rsidRDefault="001E18A6" w:rsidP="008410D6">
            <w:pPr>
              <w:autoSpaceDE w:val="0"/>
              <w:autoSpaceDN w:val="0"/>
              <w:adjustRightInd w:val="0"/>
              <w:rPr>
                <w:rFonts w:asciiTheme="minorHAnsi" w:eastAsiaTheme="minorHAnsi" w:hAnsiTheme="minorHAnsi" w:cstheme="minorHAnsi"/>
                <w:sz w:val="18"/>
                <w:szCs w:val="18"/>
              </w:rPr>
            </w:pPr>
          </w:p>
          <w:p w:rsidR="001E18A6" w:rsidRPr="00F77DB6" w:rsidRDefault="001E18A6" w:rsidP="008410D6">
            <w:pPr>
              <w:autoSpaceDE w:val="0"/>
              <w:autoSpaceDN w:val="0"/>
              <w:adjustRightInd w:val="0"/>
              <w:rPr>
                <w:rFonts w:asciiTheme="minorHAnsi" w:eastAsiaTheme="minorHAnsi" w:hAnsiTheme="minorHAnsi" w:cstheme="minorHAnsi"/>
                <w:sz w:val="18"/>
                <w:szCs w:val="18"/>
              </w:rPr>
            </w:pPr>
            <w:r>
              <w:rPr>
                <w:rFonts w:asciiTheme="minorHAnsi" w:eastAsiaTheme="minorHAnsi" w:hAnsiTheme="minorHAnsi" w:cstheme="minorHAnsi"/>
                <w:sz w:val="18"/>
                <w:szCs w:val="18"/>
              </w:rPr>
              <w:t>Final model: no. sex partners, condom use with new partners, sex partner’s no. of other partners, new partner in past 12 M, time knowing partner before sex, current smoker</w:t>
            </w:r>
          </w:p>
        </w:tc>
        <w:tc>
          <w:tcPr>
            <w:tcW w:w="1243" w:type="dxa"/>
          </w:tcPr>
          <w:p w:rsidR="001E18A6" w:rsidRPr="00010F3C" w:rsidRDefault="001E18A6" w:rsidP="008410D6">
            <w:pPr>
              <w:rPr>
                <w:rFonts w:asciiTheme="minorHAnsi" w:hAnsiTheme="minorHAnsi" w:cstheme="minorHAnsi"/>
                <w:sz w:val="19"/>
                <w:szCs w:val="19"/>
              </w:rPr>
            </w:pPr>
            <w:r>
              <w:rPr>
                <w:rFonts w:asciiTheme="minorHAnsi" w:hAnsiTheme="minorHAnsi" w:cstheme="minorHAnsi"/>
                <w:sz w:val="19"/>
                <w:szCs w:val="19"/>
              </w:rPr>
              <w:lastRenderedPageBreak/>
              <w:t>Non-OCP user</w:t>
            </w:r>
          </w:p>
        </w:tc>
        <w:tc>
          <w:tcPr>
            <w:tcW w:w="1488" w:type="dxa"/>
          </w:tcPr>
          <w:p w:rsidR="001E18A6" w:rsidRPr="00010F3C" w:rsidRDefault="001E18A6" w:rsidP="008410D6">
            <w:pPr>
              <w:rPr>
                <w:rFonts w:asciiTheme="minorHAnsi" w:hAnsiTheme="minorHAnsi" w:cstheme="minorHAnsi"/>
                <w:color w:val="000000"/>
                <w:sz w:val="19"/>
                <w:szCs w:val="19"/>
                <w:u w:val="single"/>
              </w:rPr>
            </w:pPr>
            <w:r>
              <w:rPr>
                <w:rFonts w:asciiTheme="minorHAnsi" w:hAnsiTheme="minorHAnsi" w:cstheme="minorHAnsi"/>
                <w:color w:val="000000"/>
                <w:sz w:val="19"/>
                <w:szCs w:val="19"/>
                <w:u w:val="single"/>
              </w:rPr>
              <w:t xml:space="preserve">OCP on HPV (all types) </w:t>
            </w:r>
            <w:proofErr w:type="spellStart"/>
            <w:r>
              <w:rPr>
                <w:rFonts w:asciiTheme="minorHAnsi" w:hAnsiTheme="minorHAnsi" w:cstheme="minorHAnsi"/>
                <w:color w:val="000000"/>
                <w:sz w:val="19"/>
                <w:szCs w:val="19"/>
                <w:u w:val="single"/>
              </w:rPr>
              <w:t>aHR</w:t>
            </w:r>
            <w:proofErr w:type="spellEnd"/>
            <w:r>
              <w:rPr>
                <w:rFonts w:asciiTheme="minorHAnsi" w:hAnsiTheme="minorHAnsi" w:cstheme="minorHAnsi"/>
                <w:color w:val="000000"/>
                <w:sz w:val="19"/>
                <w:szCs w:val="19"/>
                <w:u w:val="single"/>
              </w:rPr>
              <w:t xml:space="preserve">: 1.40 (1.01, </w:t>
            </w:r>
            <w:proofErr w:type="gramStart"/>
            <w:r>
              <w:rPr>
                <w:rFonts w:asciiTheme="minorHAnsi" w:hAnsiTheme="minorHAnsi" w:cstheme="minorHAnsi"/>
                <w:color w:val="000000"/>
                <w:sz w:val="19"/>
                <w:szCs w:val="19"/>
                <w:u w:val="single"/>
              </w:rPr>
              <w:t>1.80)*</w:t>
            </w:r>
            <w:proofErr w:type="gramEnd"/>
          </w:p>
        </w:tc>
        <w:tc>
          <w:tcPr>
            <w:tcW w:w="1130" w:type="dxa"/>
          </w:tcPr>
          <w:p w:rsidR="001E18A6" w:rsidRDefault="001E18A6" w:rsidP="008410D6">
            <w:pPr>
              <w:rPr>
                <w:rFonts w:asciiTheme="minorHAnsi" w:hAnsiTheme="minorHAnsi" w:cstheme="minorHAnsi"/>
                <w:sz w:val="19"/>
                <w:szCs w:val="19"/>
                <w:u w:val="single"/>
              </w:rPr>
            </w:pPr>
            <w:r>
              <w:rPr>
                <w:rFonts w:asciiTheme="minorHAnsi" w:hAnsiTheme="minorHAnsi" w:cstheme="minorHAnsi"/>
                <w:sz w:val="19"/>
                <w:szCs w:val="19"/>
                <w:u w:val="single"/>
              </w:rPr>
              <w:t>NA</w:t>
            </w:r>
          </w:p>
        </w:tc>
        <w:tc>
          <w:tcPr>
            <w:tcW w:w="1321"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NA</w:t>
            </w:r>
          </w:p>
        </w:tc>
      </w:tr>
      <w:tr w:rsidR="001E18A6" w:rsidRPr="00010F3C" w:rsidTr="008410D6">
        <w:tc>
          <w:tcPr>
            <w:tcW w:w="965"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Winer, 2016</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{"citationItems":[{"id":"ITEM-1","itemData":{"DOI":"10.1093/infdis/jiw074","ISSN":"0022-1899","PMID":"27009602","abstract":"BACKGROUND The risk of incident high-risk human papillomavirus (HR-HPV) infection associated with recent sexual behaviors is undefined in mid-adult women (defined as women aged 25-65 years). METHODS Triannually, 420 female online daters aged 25-65 years submitted vaginal specimens for HPV testing and completed health and sexual behavior questionnaires. The cumulative incidence of and risk factors for incident HR-HPV detection were estimated by Kaplan-Meier and Cox proportional hazards methods. RESULTS The 12-month cumulative incidence of HR-HPV detection was 25.4% (95% confidence interval [CI], 21.3%-30.1%). Current hormonal contraceptive use was positively associated with incident HR-HPV detection. Lifetime number of male sex partners was also positively associated but only among women not recently sexually active with male partners. In analysis that adjusted for hormonal contraceptive use and marital status, women reporting multiple male partners or male partners who were new, casual, or had ≥1 concurrent partnership had a hazard of incident HR-HPV detection that was 2.81 times (95% CI, 1.38-5.69 times) that for women who reported no male sex partners in the past 6 months. Thus, among women with multiple male partners or male partners who were new, casual, or had ≥1 concurrent partnership, approximately 64% of incident HR-HPV infections were attributable to one of those partners. CONCLUSIONS Among high-risk mid-adult women with recent new male partners, multiple male partners, or male partners who were casual or had ≥1 concurrent partnership, about two thirds of incident HR-HPV detections are likely new acquisitions, whereas about one third of cases are likely redetections of prior infections.","author":[{"dropping-particle":"","family":"Winer","given":"Rachel L.","non-dropping-particle":"","parse-names":false,"suffix":""},{"dropping-particle":"","family":"Hughes","given":"James P.","non-dropping-particle":"","parse-names":false,"suffix":""},{"dropping-particle":"","family":"Feng","given":"Qinghua","non-dropping-particle":"","parse-names":false,"suffix":""},{"dropping-particle":"","family":"Stern","given":"Joshua E.","non-dropping-particle":"","parse-names":false,"suffix":""},{"dropping-particle":"","family":"Xi","given":"Long Fu","non-dropping-particle":"","parse-names":false,"suffix":""},{"dropping-particle":"","family":"Koutsky","given":"Laura A.","non-dropping-particle":"","parse-names":false,"suffix":""}],"container-title":"Journal of Infectious Diseases","id":"ITEM-1","issue":"5","issued":{"date-parts":[["2016","9","1"]]},"page":"665-675","title":"Incident detection of high-risk human papillomavirus infections in a cohort of high-risk women aged 25–65 years","type":"article-journal","volume":"214"},"uris":["http://www.mendeley.com/documents/?uuid=3d2fe2b6-c069-3438-a768-30cec656205f"]}],"mendeley":{"formattedCitation":"[45]","plainTextFormattedCitation":"[45]","previouslyFormattedCitation":"[45]"},"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[45]</w:t>
            </w:r>
            <w:r>
              <w:rPr>
                <w:rFonts w:asciiTheme="minorHAnsi" w:hAnsiTheme="minorHAnsi" w:cstheme="minorHAnsi"/>
                <w:sz w:val="18"/>
                <w:szCs w:val="18"/>
              </w:rPr>
              <w:fldChar w:fldCharType="end"/>
            </w:r>
          </w:p>
        </w:tc>
        <w:tc>
          <w:tcPr>
            <w:tcW w:w="2028" w:type="dxa"/>
          </w:tcPr>
          <w:p w:rsidR="001E18A6" w:rsidRPr="00010F3C" w:rsidRDefault="001E18A6" w:rsidP="008410D6">
            <w:pPr>
              <w:rPr>
                <w:rFonts w:asciiTheme="minorHAnsi" w:hAnsiTheme="minorHAnsi" w:cstheme="minorHAnsi"/>
                <w:i/>
                <w:sz w:val="18"/>
                <w:szCs w:val="18"/>
              </w:rPr>
            </w:pPr>
            <w:r w:rsidRPr="00010F3C">
              <w:rPr>
                <w:rFonts w:asciiTheme="minorHAnsi" w:hAnsiTheme="minorHAnsi" w:cstheme="minorHAnsi"/>
                <w:sz w:val="18"/>
                <w:szCs w:val="18"/>
              </w:rPr>
              <w:t xml:space="preserve">420, women aged 25-65 in the USA sampled from internet dating group; </w:t>
            </w:r>
            <w:r w:rsidRPr="00010F3C">
              <w:rPr>
                <w:rFonts w:asciiTheme="minorHAnsi" w:hAnsiTheme="minorHAnsi" w:cstheme="minorHAnsi"/>
                <w:i/>
                <w:sz w:val="18"/>
                <w:szCs w:val="18"/>
              </w:rPr>
              <w:t>cumulative incidence of HR-HPV: 25.4%</w:t>
            </w:r>
          </w:p>
        </w:tc>
        <w:tc>
          <w:tcPr>
            <w:tcW w:w="1669"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Mean follow-up: 12.5M +/- 5M; Mean interval b/w assessment: 5.1M +/- 1.4M</w:t>
            </w:r>
          </w:p>
        </w:tc>
        <w:tc>
          <w:tcPr>
            <w:tcW w:w="2431" w:type="dxa"/>
          </w:tcPr>
          <w:p w:rsidR="001E18A6" w:rsidRPr="00765CB3" w:rsidRDefault="001E18A6" w:rsidP="008410D6">
            <w:pPr>
              <w:autoSpaceDE w:val="0"/>
              <w:autoSpaceDN w:val="0"/>
              <w:adjustRightInd w:val="0"/>
              <w:rPr>
                <w:rFonts w:asciiTheme="minorHAnsi" w:eastAsiaTheme="minorHAnsi" w:hAnsiTheme="minorHAnsi" w:cstheme="minorHAnsi"/>
                <w:sz w:val="18"/>
                <w:szCs w:val="18"/>
              </w:rPr>
            </w:pPr>
            <w:r w:rsidRPr="00010F3C">
              <w:rPr>
                <w:rFonts w:asciiTheme="minorHAnsi" w:hAnsiTheme="minorHAnsi" w:cstheme="minorHAnsi"/>
                <w:sz w:val="18"/>
                <w:szCs w:val="18"/>
              </w:rPr>
              <w:t xml:space="preserve">PCR assay with B-globin controls, Roche Linear Array </w:t>
            </w:r>
            <w:r w:rsidRPr="00765CB3">
              <w:rPr>
                <w:rFonts w:asciiTheme="minorHAnsi" w:hAnsiTheme="minorHAnsi" w:cstheme="minorHAnsi"/>
                <w:sz w:val="18"/>
                <w:szCs w:val="18"/>
              </w:rPr>
              <w:t>genotyping test</w:t>
            </w:r>
          </w:p>
          <w:p w:rsidR="001E18A6" w:rsidRPr="00010F3C" w:rsidRDefault="001E18A6" w:rsidP="008410D6">
            <w:pPr>
              <w:rPr>
                <w:rFonts w:asciiTheme="minorHAnsi" w:hAnsiTheme="minorHAnsi" w:cstheme="minorHAnsi"/>
                <w:color w:val="000000"/>
                <w:sz w:val="18"/>
                <w:szCs w:val="18"/>
              </w:rPr>
            </w:pPr>
          </w:p>
        </w:tc>
        <w:tc>
          <w:tcPr>
            <w:tcW w:w="185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 xml:space="preserve">Age at first sex, (time dependent variables): age, marital status, smoking history, abnormal PAP history, current HC use, menopausal status, sex with </w:t>
            </w:r>
            <m:oMath>
              <m:r>
                <w:rPr>
                  <w:rFonts w:ascii="Cambria Math" w:hAnsi="Cambria Math" w:cstheme="minorHAnsi"/>
                  <w:sz w:val="18"/>
                  <w:szCs w:val="18"/>
                </w:rPr>
                <m:t>≥</m:t>
              </m:r>
            </m:oMath>
            <w:r w:rsidRPr="00010F3C">
              <w:rPr>
                <w:rFonts w:asciiTheme="minorHAnsi" w:hAnsiTheme="minorHAnsi" w:cstheme="minorHAnsi"/>
                <w:sz w:val="18"/>
                <w:szCs w:val="18"/>
              </w:rPr>
              <w:t>1 male partner in past 6M, lifetime # sex partners</w:t>
            </w:r>
          </w:p>
          <w:p w:rsidR="001E18A6" w:rsidRPr="00010F3C" w:rsidRDefault="001E18A6" w:rsidP="008410D6">
            <w:pPr>
              <w:rPr>
                <w:rFonts w:asciiTheme="minorHAnsi" w:hAnsiTheme="minorHAnsi" w:cstheme="minorHAnsi"/>
                <w:sz w:val="18"/>
                <w:szCs w:val="18"/>
              </w:rPr>
            </w:pPr>
          </w:p>
          <w:p w:rsidR="001E18A6" w:rsidRPr="00010F3C" w:rsidRDefault="001E18A6" w:rsidP="008410D6">
            <w:pPr>
              <w:rPr>
                <w:rFonts w:asciiTheme="minorHAnsi" w:hAnsiTheme="minorHAnsi" w:cstheme="minorHAnsi"/>
                <w:color w:val="FF0000"/>
                <w:sz w:val="18"/>
                <w:szCs w:val="18"/>
              </w:rPr>
            </w:pPr>
            <w:r w:rsidRPr="00010F3C">
              <w:rPr>
                <w:rFonts w:asciiTheme="minorHAnsi" w:hAnsiTheme="minorHAnsi" w:cstheme="minorHAnsi"/>
                <w:color w:val="000000"/>
                <w:sz w:val="18"/>
                <w:szCs w:val="18"/>
              </w:rPr>
              <w:t>Final model (empirical strategy)</w:t>
            </w:r>
            <w:r w:rsidRPr="00010F3C">
              <w:rPr>
                <w:rFonts w:asciiTheme="minorHAnsi" w:hAnsiTheme="minorHAnsi" w:cstheme="minorHAnsi"/>
                <w:sz w:val="18"/>
                <w:szCs w:val="18"/>
              </w:rPr>
              <w:t>: lifetime # of male sex partners, and male sex partners in the P6M (</w:t>
            </w:r>
            <w:r w:rsidRPr="00010F3C">
              <w:rPr>
                <w:rFonts w:asciiTheme="minorHAnsi" w:hAnsiTheme="minorHAnsi" w:cstheme="minorHAnsi"/>
                <w:color w:val="000000" w:themeColor="text1"/>
                <w:sz w:val="18"/>
                <w:szCs w:val="18"/>
              </w:rPr>
              <w:t>women with</w:t>
            </w:r>
            <w:r w:rsidRPr="00010F3C">
              <w:rPr>
                <w:rFonts w:asciiTheme="minorHAnsi" w:hAnsiTheme="minorHAnsi" w:cstheme="minorHAnsi"/>
                <w:color w:val="000000" w:themeColor="text1"/>
                <w:sz w:val="18"/>
                <w:szCs w:val="18"/>
                <w:u w:val="single"/>
              </w:rPr>
              <w:t xml:space="preserve"> </w:t>
            </w:r>
            <m:oMath>
              <m:r>
                <w:rPr>
                  <w:rFonts w:ascii="Cambria Math" w:hAnsi="Cambria Math" w:cstheme="minorHAnsi"/>
                  <w:sz w:val="18"/>
                  <w:szCs w:val="18"/>
                  <w:u w:val="single"/>
                </w:rPr>
                <m:t>≥</m:t>
              </m:r>
            </m:oMath>
            <w:r w:rsidRPr="00010F3C">
              <w:rPr>
                <w:rFonts w:asciiTheme="minorHAnsi" w:hAnsiTheme="minorHAnsi" w:cstheme="minorHAnsi"/>
                <w:sz w:val="18"/>
                <w:szCs w:val="18"/>
              </w:rPr>
              <w:t xml:space="preserve">1 partner in P6M)  </w:t>
            </w:r>
          </w:p>
        </w:tc>
        <w:tc>
          <w:tcPr>
            <w:tcW w:w="1243" w:type="dxa"/>
          </w:tcPr>
          <w:p w:rsidR="001E18A6" w:rsidRPr="00010F3C" w:rsidRDefault="001E18A6" w:rsidP="008410D6">
            <w:pPr>
              <w:rPr>
                <w:rFonts w:asciiTheme="minorHAnsi" w:hAnsiTheme="minorHAnsi" w:cstheme="minorHAnsi"/>
                <w:sz w:val="18"/>
                <w:szCs w:val="18"/>
              </w:rPr>
            </w:pPr>
            <w:r>
              <w:rPr>
                <w:rFonts w:asciiTheme="minorHAnsi" w:hAnsiTheme="minorHAnsi" w:cstheme="minorHAnsi"/>
                <w:sz w:val="18"/>
                <w:szCs w:val="18"/>
              </w:rPr>
              <w:t xml:space="preserve">Current non-hormonal user </w:t>
            </w:r>
          </w:p>
        </w:tc>
        <w:tc>
          <w:tcPr>
            <w:tcW w:w="1488"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c>
          <w:tcPr>
            <w:tcW w:w="1130"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rPr>
              <w:t>NA</w:t>
            </w:r>
          </w:p>
        </w:tc>
        <w:tc>
          <w:tcPr>
            <w:tcW w:w="1321" w:type="dxa"/>
          </w:tcPr>
          <w:p w:rsidR="001E18A6" w:rsidRPr="00010F3C" w:rsidRDefault="001E18A6" w:rsidP="008410D6">
            <w:pPr>
              <w:rPr>
                <w:rFonts w:asciiTheme="minorHAnsi" w:hAnsiTheme="minorHAnsi" w:cstheme="minorHAnsi"/>
                <w:sz w:val="18"/>
                <w:szCs w:val="18"/>
              </w:rPr>
            </w:pPr>
            <w:r w:rsidRPr="00010F3C">
              <w:rPr>
                <w:rFonts w:asciiTheme="minorHAnsi" w:hAnsiTheme="minorHAnsi" w:cstheme="minorHAnsi"/>
                <w:sz w:val="18"/>
                <w:szCs w:val="18"/>
                <w:u w:val="single"/>
              </w:rPr>
              <w:t>Any HC use on HR-HPV, all women</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xml:space="preserve">: 1.82 (1.17, </w:t>
            </w:r>
            <w:proofErr w:type="gramStart"/>
            <w:r w:rsidRPr="00010F3C">
              <w:rPr>
                <w:rFonts w:asciiTheme="minorHAnsi" w:hAnsiTheme="minorHAnsi" w:cstheme="minorHAnsi"/>
                <w:sz w:val="18"/>
                <w:szCs w:val="18"/>
              </w:rPr>
              <w:t>2.83)</w:t>
            </w:r>
            <w:r>
              <w:rPr>
                <w:rFonts w:asciiTheme="minorHAnsi" w:hAnsiTheme="minorHAnsi" w:cstheme="minorHAnsi"/>
                <w:sz w:val="18"/>
                <w:szCs w:val="18"/>
              </w:rPr>
              <w:t>*</w:t>
            </w:r>
            <w:proofErr w:type="gramEnd"/>
            <w:r w:rsidRPr="00010F3C">
              <w:rPr>
                <w:rFonts w:asciiTheme="minorHAnsi" w:hAnsiTheme="minorHAnsi" w:cstheme="minorHAnsi"/>
                <w:sz w:val="18"/>
                <w:szCs w:val="18"/>
              </w:rPr>
              <w:t xml:space="preserve">; </w:t>
            </w:r>
            <w:r w:rsidRPr="00010F3C">
              <w:rPr>
                <w:rFonts w:asciiTheme="minorHAnsi" w:hAnsiTheme="minorHAnsi" w:cstheme="minorHAnsi"/>
                <w:sz w:val="18"/>
                <w:szCs w:val="18"/>
                <w:u w:val="single"/>
              </w:rPr>
              <w:t>Women with no sex partners in P6M</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4.16 (1.27, 13.63)</w:t>
            </w:r>
            <w:r>
              <w:rPr>
                <w:rFonts w:asciiTheme="minorHAnsi" w:hAnsiTheme="minorHAnsi" w:cstheme="minorHAnsi"/>
                <w:sz w:val="18"/>
                <w:szCs w:val="18"/>
              </w:rPr>
              <w:t>*</w:t>
            </w:r>
            <w:r w:rsidRPr="00010F3C">
              <w:rPr>
                <w:rFonts w:asciiTheme="minorHAnsi" w:hAnsiTheme="minorHAnsi" w:cstheme="minorHAnsi"/>
                <w:sz w:val="18"/>
                <w:szCs w:val="18"/>
              </w:rPr>
              <w:t xml:space="preserve">; </w:t>
            </w:r>
            <w:r w:rsidRPr="00010F3C">
              <w:rPr>
                <w:rFonts w:asciiTheme="minorHAnsi" w:hAnsiTheme="minorHAnsi" w:cstheme="minorHAnsi"/>
                <w:sz w:val="18"/>
                <w:szCs w:val="18"/>
                <w:u w:val="single"/>
              </w:rPr>
              <w:t xml:space="preserve">Women with </w:t>
            </w:r>
            <m:oMath>
              <m:r>
                <w:rPr>
                  <w:rFonts w:ascii="Cambria Math" w:hAnsi="Cambria Math" w:cstheme="minorHAnsi"/>
                  <w:sz w:val="18"/>
                  <w:szCs w:val="18"/>
                  <w:u w:val="single"/>
                </w:rPr>
                <m:t>≥1</m:t>
              </m:r>
            </m:oMath>
            <w:r w:rsidRPr="00010F3C">
              <w:rPr>
                <w:rFonts w:asciiTheme="minorHAnsi" w:hAnsiTheme="minorHAnsi" w:cstheme="minorHAnsi"/>
                <w:sz w:val="18"/>
                <w:szCs w:val="18"/>
                <w:u w:val="single"/>
              </w:rPr>
              <w:t xml:space="preserve"> partner in P6M</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1.65 (1.05, 2.59)</w:t>
            </w:r>
            <w:r>
              <w:rPr>
                <w:rFonts w:asciiTheme="minorHAnsi" w:hAnsiTheme="minorHAnsi" w:cstheme="minorHAnsi"/>
                <w:sz w:val="18"/>
                <w:szCs w:val="18"/>
              </w:rPr>
              <w:t>*</w:t>
            </w:r>
          </w:p>
        </w:tc>
      </w:tr>
    </w:tbl>
    <w:p w:rsidR="001E18A6" w:rsidRPr="00010F3C" w:rsidRDefault="001E18A6" w:rsidP="001E18A6">
      <w:pPr>
        <w:rPr>
          <w:rFonts w:asciiTheme="minorHAnsi" w:hAnsiTheme="minorHAnsi" w:cstheme="minorHAnsi"/>
          <w:sz w:val="18"/>
          <w:szCs w:val="18"/>
        </w:rPr>
      </w:pPr>
      <w:r w:rsidRPr="00010F3C">
        <w:rPr>
          <w:rFonts w:asciiTheme="minorHAnsi" w:hAnsiTheme="minorHAnsi" w:cstheme="minorHAnsi"/>
          <w:sz w:val="18"/>
          <w:szCs w:val="18"/>
        </w:rPr>
        <w:t>Notes: PY: person-years at risk</w:t>
      </w:r>
      <w:r>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adjusted odds ratio;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adjusted hazard rati</w:t>
      </w:r>
      <w:r>
        <w:rPr>
          <w:rFonts w:asciiTheme="minorHAnsi" w:hAnsiTheme="minorHAnsi" w:cstheme="minorHAnsi"/>
          <w:sz w:val="18"/>
          <w:szCs w:val="18"/>
        </w:rPr>
        <w:t xml:space="preserve">o. </w:t>
      </w:r>
      <w:r w:rsidRPr="00010F3C">
        <w:rPr>
          <w:rFonts w:asciiTheme="minorHAnsi" w:hAnsiTheme="minorHAnsi" w:cstheme="minorHAnsi"/>
          <w:sz w:val="18"/>
          <w:szCs w:val="18"/>
        </w:rPr>
        <w:t>HR-HPV: high-risk HPV, LR-HPV: low-risk HPV</w:t>
      </w:r>
      <w:r>
        <w:rPr>
          <w:rFonts w:asciiTheme="minorHAnsi" w:hAnsiTheme="minorHAnsi" w:cstheme="minorHAnsi"/>
          <w:sz w:val="18"/>
          <w:szCs w:val="18"/>
        </w:rPr>
        <w:t>.</w:t>
      </w:r>
      <w:r w:rsidRPr="00A37620">
        <w:rPr>
          <w:rFonts w:asciiTheme="minorHAnsi" w:hAnsiTheme="minorHAnsi" w:cstheme="minorHAnsi"/>
          <w:sz w:val="18"/>
          <w:szCs w:val="18"/>
          <w:vertAlign w:val="superscript"/>
        </w:rPr>
        <w:t xml:space="preserve"> </w:t>
      </w:r>
      <w:r w:rsidRPr="00010F3C">
        <w:rPr>
          <w:rFonts w:asciiTheme="minorHAnsi" w:hAnsiTheme="minorHAnsi" w:cstheme="minorHAnsi"/>
          <w:sz w:val="18"/>
          <w:szCs w:val="18"/>
        </w:rPr>
        <w:t>*p&lt;0.05</w:t>
      </w:r>
      <w:r>
        <w:rPr>
          <w:rFonts w:asciiTheme="minorHAnsi" w:hAnsiTheme="minorHAnsi" w:cstheme="minorHAnsi"/>
          <w:sz w:val="18"/>
          <w:szCs w:val="18"/>
        </w:rPr>
        <w:t>.</w:t>
      </w:r>
    </w:p>
    <w:p w:rsidR="001E18A6" w:rsidRPr="00010F3C" w:rsidRDefault="001E18A6" w:rsidP="001E18A6">
      <w:pPr>
        <w:rPr>
          <w:rFonts w:asciiTheme="minorHAnsi" w:hAnsiTheme="minorHAnsi" w:cstheme="minorHAnsi"/>
          <w:sz w:val="18"/>
          <w:szCs w:val="18"/>
        </w:rPr>
      </w:pPr>
      <w:proofErr w:type="gramStart"/>
      <w:r w:rsidRPr="00F77DB6">
        <w:rPr>
          <w:rFonts w:asciiTheme="minorHAnsi" w:hAnsiTheme="minorHAnsi" w:cstheme="minorHAnsi"/>
          <w:sz w:val="18"/>
          <w:szCs w:val="18"/>
          <w:vertAlign w:val="superscript"/>
        </w:rPr>
        <w:t>a</w:t>
      </w:r>
      <w:proofErr w:type="gramEnd"/>
      <w:r>
        <w:rPr>
          <w:rFonts w:asciiTheme="minorHAnsi" w:hAnsiTheme="minorHAnsi" w:cstheme="minorHAnsi"/>
          <w:sz w:val="18"/>
          <w:szCs w:val="18"/>
          <w:vertAlign w:val="superscript"/>
        </w:rPr>
        <w:t xml:space="preserve"> </w:t>
      </w:r>
      <w:r w:rsidRPr="00010F3C">
        <w:rPr>
          <w:rFonts w:asciiTheme="minorHAnsi" w:hAnsiTheme="minorHAnsi" w:cstheme="minorHAnsi"/>
          <w:sz w:val="18"/>
          <w:szCs w:val="18"/>
        </w:rPr>
        <w:t>OC</w:t>
      </w:r>
      <w:r>
        <w:rPr>
          <w:rFonts w:asciiTheme="minorHAnsi" w:hAnsiTheme="minorHAnsi" w:cstheme="minorHAnsi"/>
          <w:sz w:val="18"/>
          <w:szCs w:val="18"/>
        </w:rPr>
        <w:t>P</w:t>
      </w:r>
      <w:r w:rsidRPr="00010F3C">
        <w:rPr>
          <w:rFonts w:asciiTheme="minorHAnsi" w:hAnsiTheme="minorHAnsi" w:cstheme="minorHAnsi"/>
          <w:sz w:val="18"/>
          <w:szCs w:val="18"/>
        </w:rPr>
        <w:t xml:space="preserve"> </w:t>
      </w:r>
      <w:r>
        <w:rPr>
          <w:rFonts w:asciiTheme="minorHAnsi" w:hAnsiTheme="minorHAnsi" w:cstheme="minorHAnsi"/>
          <w:sz w:val="18"/>
          <w:szCs w:val="18"/>
        </w:rPr>
        <w:t xml:space="preserve">type </w:t>
      </w:r>
      <w:r w:rsidRPr="00010F3C">
        <w:rPr>
          <w:rFonts w:asciiTheme="minorHAnsi" w:hAnsiTheme="minorHAnsi" w:cstheme="minorHAnsi"/>
          <w:sz w:val="18"/>
          <w:szCs w:val="18"/>
        </w:rPr>
        <w:t xml:space="preserve">was unspecified unless COC (combined oral contraception) </w:t>
      </w:r>
      <w:r>
        <w:rPr>
          <w:rFonts w:asciiTheme="minorHAnsi" w:hAnsiTheme="minorHAnsi" w:cstheme="minorHAnsi"/>
          <w:sz w:val="18"/>
          <w:szCs w:val="18"/>
        </w:rPr>
        <w:t xml:space="preserve">or POP (progestin-only pill) </w:t>
      </w:r>
      <w:r w:rsidRPr="00010F3C">
        <w:rPr>
          <w:rFonts w:asciiTheme="minorHAnsi" w:hAnsiTheme="minorHAnsi" w:cstheme="minorHAnsi"/>
          <w:sz w:val="18"/>
          <w:szCs w:val="18"/>
        </w:rPr>
        <w:t xml:space="preserve">is noted. </w:t>
      </w:r>
    </w:p>
    <w:p w:rsidR="001E18A6" w:rsidRPr="00010F3C" w:rsidRDefault="001E18A6" w:rsidP="001E18A6">
      <w:pPr>
        <w:rPr>
          <w:rFonts w:asciiTheme="minorHAnsi" w:hAnsiTheme="minorHAnsi" w:cstheme="minorHAnsi"/>
          <w:sz w:val="18"/>
          <w:szCs w:val="18"/>
        </w:rPr>
      </w:pPr>
      <w:r w:rsidRPr="00F77DB6">
        <w:rPr>
          <w:rFonts w:asciiTheme="minorHAnsi" w:hAnsiTheme="minorHAnsi" w:cstheme="minorHAnsi"/>
          <w:sz w:val="18"/>
          <w:szCs w:val="18"/>
          <w:vertAlign w:val="superscript"/>
        </w:rPr>
        <w:t>b</w:t>
      </w:r>
      <w:r w:rsidRPr="00010F3C">
        <w:rPr>
          <w:rFonts w:asciiTheme="minorHAnsi" w:hAnsiTheme="minorHAnsi" w:cstheme="minorHAnsi"/>
          <w:color w:val="000000" w:themeColor="text1"/>
          <w:sz w:val="18"/>
          <w:szCs w:val="18"/>
        </w:rPr>
        <w:t xml:space="preserve"> Injectable type not reported but authors note most commonly DMPA in setting with occasional norethisterone enanthate (NE-ENT) use.</w:t>
      </w:r>
    </w:p>
    <w:p w:rsidR="001E18A6" w:rsidRPr="00010F3C" w:rsidRDefault="001E18A6" w:rsidP="001E18A6">
      <w:pPr>
        <w:rPr>
          <w:rFonts w:asciiTheme="minorHAnsi" w:hAnsiTheme="minorHAnsi" w:cstheme="minorHAnsi"/>
          <w:sz w:val="18"/>
          <w:szCs w:val="18"/>
        </w:rPr>
      </w:pPr>
      <w:r>
        <w:rPr>
          <w:rFonts w:asciiTheme="minorHAnsi" w:hAnsiTheme="minorHAnsi" w:cstheme="minorHAnsi"/>
          <w:sz w:val="18"/>
          <w:szCs w:val="18"/>
          <w:vertAlign w:val="superscript"/>
        </w:rPr>
        <w:t>c</w:t>
      </w:r>
      <w:r w:rsidRPr="00010F3C">
        <w:rPr>
          <w:rFonts w:asciiTheme="minorHAnsi" w:hAnsiTheme="minorHAnsi" w:cstheme="minorHAnsi"/>
          <w:sz w:val="18"/>
          <w:szCs w:val="18"/>
        </w:rPr>
        <w:t xml:space="preserve"> Case control study</w:t>
      </w:r>
      <w:r>
        <w:rPr>
          <w:rFonts w:asciiTheme="minorHAnsi" w:hAnsiTheme="minorHAnsi" w:cstheme="minorHAnsi"/>
          <w:sz w:val="18"/>
          <w:szCs w:val="18"/>
        </w:rPr>
        <w:t>.</w:t>
      </w:r>
    </w:p>
    <w:p w:rsidR="001E18A6" w:rsidRPr="00010F3C" w:rsidRDefault="001E18A6" w:rsidP="001E18A6">
      <w:pPr>
        <w:rPr>
          <w:rFonts w:asciiTheme="minorHAnsi" w:hAnsiTheme="minorHAnsi" w:cstheme="minorHAnsi"/>
          <w:sz w:val="18"/>
          <w:szCs w:val="18"/>
        </w:rPr>
      </w:pPr>
      <w:r>
        <w:rPr>
          <w:rFonts w:asciiTheme="minorHAnsi" w:hAnsiTheme="minorHAnsi" w:cstheme="minorHAnsi"/>
          <w:sz w:val="18"/>
          <w:szCs w:val="18"/>
          <w:vertAlign w:val="superscript"/>
        </w:rPr>
        <w:t>d</w:t>
      </w:r>
      <w:r w:rsidRPr="00010F3C">
        <w:rPr>
          <w:rFonts w:asciiTheme="minorHAnsi" w:hAnsiTheme="minorHAnsi" w:cstheme="minorHAnsi"/>
          <w:sz w:val="18"/>
          <w:szCs w:val="18"/>
        </w:rPr>
        <w:t xml:space="preserve"> Former user defined as having stopped using method at least one year before colposcopy-biopsy. Recent use defined as having used that method within 6 months of biopsy.</w:t>
      </w:r>
    </w:p>
    <w:p w:rsidR="001C1BDE" w:rsidRPr="001E18A6" w:rsidRDefault="001E18A6">
      <w:pPr>
        <w:rPr>
          <w:rFonts w:asciiTheme="minorHAnsi" w:hAnsiTheme="minorHAnsi" w:cstheme="minorHAnsi"/>
          <w:sz w:val="18"/>
          <w:szCs w:val="18"/>
        </w:rPr>
      </w:pPr>
      <w:r>
        <w:rPr>
          <w:rFonts w:asciiTheme="minorHAnsi" w:hAnsiTheme="minorHAnsi" w:cstheme="minorHAnsi"/>
          <w:sz w:val="18"/>
          <w:szCs w:val="18"/>
          <w:vertAlign w:val="superscript"/>
        </w:rPr>
        <w:t>e</w:t>
      </w:r>
      <w:r w:rsidRPr="00010F3C">
        <w:rPr>
          <w:rFonts w:asciiTheme="minorHAnsi" w:hAnsiTheme="minorHAnsi" w:cstheme="minorHAnsi"/>
          <w:sz w:val="18"/>
          <w:szCs w:val="18"/>
          <w:vertAlign w:val="superscript"/>
        </w:rPr>
        <w:t xml:space="preserve"> </w:t>
      </w:r>
      <w:r w:rsidRPr="00010F3C">
        <w:rPr>
          <w:rFonts w:asciiTheme="minorHAnsi" w:hAnsiTheme="minorHAnsi" w:cstheme="minorHAnsi"/>
          <w:sz w:val="18"/>
          <w:szCs w:val="18"/>
        </w:rPr>
        <w:t>Contraceptive use exposure period retrospectively recalled, exceeds study follow-up duration.</w:t>
      </w:r>
    </w:p>
    <w:sectPr w:rsidR="001C1BDE" w:rsidRPr="001E18A6" w:rsidSect="001E18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A6"/>
    <w:rsid w:val="001C1BDE"/>
    <w:rsid w:val="001E18A6"/>
    <w:rsid w:val="003F5C4C"/>
    <w:rsid w:val="00480CA1"/>
    <w:rsid w:val="00534723"/>
    <w:rsid w:val="00894BCC"/>
    <w:rsid w:val="008D746A"/>
    <w:rsid w:val="00AF5328"/>
    <w:rsid w:val="00C662B4"/>
    <w:rsid w:val="00D750DE"/>
    <w:rsid w:val="00E0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F8A0"/>
  <w15:chartTrackingRefBased/>
  <w15:docId w15:val="{771FC3E8-2D65-4A1C-ACC8-DFCB28BB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8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8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Detweiler, Rachelle</dc:creator>
  <cp:keywords/>
  <dc:description/>
  <cp:lastModifiedBy>Detweiler, Rachelle</cp:lastModifiedBy>
  <cp:revision>1</cp:revision>
  <dcterms:created xsi:type="dcterms:W3CDTF">2019-03-01T18:21:00Z</dcterms:created>
  <dcterms:modified xsi:type="dcterms:W3CDTF">2019-03-01T18:25:00Z</dcterms:modified>
</cp:coreProperties>
</file>